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Kingdom</w:t>
      </w:r>
      <w:r>
        <w:t xml:space="preserve"> </w:t>
      </w:r>
      <w:r>
        <w:t xml:space="preserve">of</w:t>
      </w:r>
      <w:r>
        <w:t xml:space="preserve"> </w:t>
      </w:r>
      <w:r>
        <w:t xml:space="preserve">Saudi</w:t>
      </w:r>
      <w:r>
        <w:t xml:space="preserve"> </w:t>
      </w:r>
      <w:r>
        <w:t xml:space="preserve">Arabia</w:t>
      </w:r>
    </w:p>
    <w:bookmarkStart w:id="29" w:name="X7b133ea12a4161ef4ec969290e9cf56d6107c57"/>
    <w:p>
      <w:pPr>
        <w:pStyle w:val="Heading1"/>
      </w:pPr>
      <w:r>
        <w:t xml:space="preserve">Book Report: Navigating the Landscape of the Academic Researcher in a Visionary Era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Educational Strategy and University Administration</w:t>
      </w:r>
      <w:r>
        <w:br/>
      </w:r>
      <w:r>
        <w:rPr>
          <w:bCs/>
          <w:b/>
        </w:rPr>
        <w:t xml:space="preserve">Subject:</w:t>
      </w:r>
    </w:p>
    <w:p>
      <w:pPr>
        <w:pStyle w:val="BodyText"/>
      </w:pPr>
      <w:r>
        <w:t xml:space="preserve">: An Analysis of the Role, Challenges, and Opportunities for the Academic Researcher within Saudi Arabia Riyadh</w:t>
      </w:r>
    </w:p>
    <w:p>
      <w:pPr>
        <w:pStyle w:val="BodyText"/>
      </w:pPr>
      <w:r>
        <w:rPr>
          <w:iCs/>
          <w:i/>
        </w:rPr>
        <w:t xml:space="preserve">This report synthesizes contemporary literature regarding higher education reform, scientific output metrics, and institutional strategy. It specifically contextualizes these findings within the unique socio-economic and political landscape of Saudi Arabia Riyadh, focusing on the evolving identity of the Academic Researcher.</w:t>
      </w:r>
    </w:p>
    <w:bookmarkStart w:id="20" w:name="introduction"/>
    <w:p>
      <w:pPr>
        <w:pStyle w:val="Heading2"/>
      </w:pPr>
      <w:r>
        <w:t xml:space="preserve">1. Introduction</w:t>
      </w:r>
    </w:p>
    <w:p>
      <w:pPr>
        <w:pStyle w:val="FirstParagraph"/>
      </w:pPr>
      <w:r>
        <w:t xml:space="preserve">The role of higher education has undergone a seismic shift globally over the last decade. However, nowhere is this transformation more pronounced than in Saudi Arabia Riyadh. As the Kingdom accelerates its transition from an oil-dependent economy to a diversified knowledge-based society under Vision 2030, the figure of the Academic Researcher has moved from the periphery of institutional prestige to its very center. This book report examines key literature regarding academic research methodologies, publication ethics, and strategic management, adapting these general principles to the specific context of Riyadh. The central thesis is that success for an Academic Researcher in this region requires a delicate balance between international scientific standards and local cultural imperatives.</w:t>
      </w:r>
    </w:p>
    <w:bookmarkEnd w:id="20"/>
    <w:bookmarkStart w:id="21" w:name="the-evolution-of-the-researchers-role"/>
    <w:p>
      <w:pPr>
        <w:pStyle w:val="Heading2"/>
      </w:pPr>
      <w:r>
        <w:t xml:space="preserve">2. The Evolution of the Researcher’s Role</w:t>
      </w:r>
    </w:p>
    <w:p>
      <w:pPr>
        <w:pStyle w:val="FirstParagraph"/>
      </w:pPr>
      <w:r>
        <w:t xml:space="preserve">In traditional academic models, the researcher was often viewed primarily as a disseminator of existing knowledge. However, recent literature emphasizes the "entrepreneurial university" model, where researchers are expected to be innovators and problem-solvers. For an Academic Researcher operating in Saudi Arabia Riyadh, this definition is particularly potent. The literature suggests that local universities are no longer just teaching institutions but are becoming hubs for applied research aimed at solving real-world problems relevant to the Kingdom.</w:t>
      </w:r>
    </w:p>
    <w:p>
      <w:pPr>
        <w:pStyle w:val="BodyText"/>
      </w:pPr>
      <w:r>
        <w:t xml:space="preserve">Texts discussing "Third Mission Universities" highlight how faculty members must bridge the gap between theoretical academia and industrial application. In Riyadh, this means an Academic Researcher might collaborate directly with entities within NEOM, the Red Sea Global project, or local government ministries. The report identifies that modern literature encourages researchers to view their work not just as a contribution to global journals, but as a direct input into national development goals.</w:t>
      </w:r>
    </w:p>
    <w:bookmarkEnd w:id="21"/>
    <w:bookmarkStart w:id="24" w:name="Xfd06a83b991d1bfe4c9cd19a5ffd777a2d9b02b"/>
    <w:p>
      <w:pPr>
        <w:pStyle w:val="Heading2"/>
      </w:pPr>
      <w:r>
        <w:t xml:space="preserve">3. Challenges Specific to the Riyadh Context</w:t>
      </w:r>
    </w:p>
    <w:p>
      <w:pPr>
        <w:pStyle w:val="FirstParagraph"/>
      </w:pPr>
      <w:r>
        <w:t xml:space="preserve">The books and articles reviewed highlight several universal challenges in research: funding acquisition, peer review pressures, and interdisciplinary collaboration. However, when applied to Saudi Arabia Riyadh, these challenges take on distinct characteristics.</w:t>
      </w:r>
    </w:p>
    <w:bookmarkStart w:id="22" w:name="the-pressure-for-high-impact-output"/>
    <w:p>
      <w:pPr>
        <w:pStyle w:val="Heading3"/>
      </w:pPr>
      <w:r>
        <w:t xml:space="preserve">3.1. The Pressure for High-Impact Output</w:t>
      </w:r>
    </w:p>
    <w:p>
      <w:pPr>
        <w:pStyle w:val="FirstParagraph"/>
      </w:pPr>
      <w:r>
        <w:t xml:space="preserve">A significant portion of the reviewed literature discusses the "publish or perish" culture in top-tier global institutions. In Riyadh, this pressure is compounded by national initiatives to rank Saudi universities among the top 100 globally (such as those under the University Performance Indicators). The Academic Researcher in Riyadh faces a dual expectation: to meet rigorous international citation metrics while simultaneously ensuring that research topics are relevant to local societal needs. This often creates a tension between pursuing trendy global topics and addressing indigenous challenges such as water scarcity, renewable energy integration, and healthcare efficiency.</w:t>
      </w:r>
    </w:p>
    <w:bookmarkEnd w:id="22"/>
    <w:bookmarkStart w:id="23" w:name="navigating-cultural-nuances"/>
    <w:p>
      <w:pPr>
        <w:pStyle w:val="Heading3"/>
      </w:pPr>
      <w:r>
        <w:t xml:space="preserve">2.2. Navigating Cultural Nuances</w:t>
      </w:r>
    </w:p>
    <w:p>
      <w:pPr>
        <w:pStyle w:val="FirstParagraph"/>
      </w:pPr>
      <w:r>
        <w:t xml:space="preserve">Literature on cross-cultural academic collaboration is vital for the Academic Researcher in Riyadh. The region’s unique blend of traditional Islamic values and rapid modernization requires a nuanced approach to research ethics and social engagement. Books focusing on qualitative methods in the Middle East suggest that successful researchers must possess high cultural intelligence (CQ). They must navigate complex social structures while maintaining professional autonomy. This is particularly relevant for researchers in the humanities, social sciences, and even business administration.</w:t>
      </w:r>
    </w:p>
    <w:bookmarkEnd w:id="23"/>
    <w:bookmarkEnd w:id="24"/>
    <w:bookmarkStart w:id="25" w:name="Xb068e8d81977dc3a5aa95b091fb3b690959ca67"/>
    <w:p>
      <w:pPr>
        <w:pStyle w:val="Heading2"/>
      </w:pPr>
      <w:r>
        <w:t xml:space="preserve">4. Strategic Opportunities and Institutional Support</w:t>
      </w:r>
    </w:p>
    <w:p>
      <w:pPr>
        <w:pStyle w:val="FirstParagraph"/>
      </w:pPr>
      <w:r>
        <w:t xml:space="preserve">The reviewed texts are overwhelmingly optimistic about the resources now available to scholars in Saudi Arabia Riyadh. The establishment of dedicated research centers, such as those affiliated with King Abdulaziz City for Science and Technology (KACST) and various flagship universities like King Saud University, has created an ecosystem conducive to high-level inquiry.</w:t>
      </w:r>
    </w:p>
    <w:p>
      <w:pPr>
        <w:pStyle w:val="BodyText"/>
      </w:pPr>
      <w:r>
        <w:t xml:space="preserve">One key theme emerging from the literature is the importance of interdisciplinary teams. In Riyadh, successful research projects often involve collaboration between engineering, medicine, and data science departments. The books emphasize that siloed research is becoming obsolete; instead, the Academic Researcher must act as a network node within these interdisciplinary clusters. Furthermore, increased funding for international partnerships allows researchers in Riyadh to lead global consortia rather than merely participating in them.</w:t>
      </w:r>
    </w:p>
    <w:bookmarkEnd w:id="25"/>
    <w:bookmarkStart w:id="26" w:name="X8d6c9a5c37a27b28134386cf6ca6e681d467e97"/>
    <w:p>
      <w:pPr>
        <w:pStyle w:val="Heading2"/>
      </w:pPr>
      <w:r>
        <w:t xml:space="preserve">5. Recommendations for the Academic Researcher</w:t>
      </w:r>
    </w:p>
    <w:p>
      <w:pPr>
        <w:pStyle w:val="FirstParagraph"/>
      </w:pPr>
      <w:r>
        <w:t xml:space="preserve">Based on the synthesis of current academic literature and its adaptation to Saudi Arabia Riyadh, the following recommendations are proposed for any professional identifying as an Academic Researcher:</w:t>
      </w:r>
    </w:p>
    <w:p>
      <w:pPr>
        <w:numPr>
          <w:ilvl w:val="0"/>
          <w:numId w:val="1001"/>
        </w:numPr>
        <w:pStyle w:val="Compact"/>
      </w:pPr>
      <w:r>
        <w:rPr>
          <w:bCs/>
          <w:b/>
        </w:rPr>
        <w:t xml:space="preserve">Maintain Global Standards:</w:t>
      </w:r>
      <w:r>
        <w:t xml:space="preserve"> </w:t>
      </w:r>
      <w:r>
        <w:t xml:space="preserve">Continue to adhere to the highest standards of integrity and methodological rigor expected in international journals. This ensures credibility and facilitates global collaboration.</w:t>
      </w:r>
    </w:p>
    <w:p>
      <w:pPr>
        <w:numPr>
          <w:ilvl w:val="0"/>
          <w:numId w:val="1001"/>
        </w:numPr>
        <w:pStyle w:val="Compact"/>
      </w:pPr>
      <w:r>
        <w:rPr>
          <w:bCs/>
          <w:b/>
        </w:rPr>
        <w:t xml:space="preserve">Prioritize Relevance:</w:t>
      </w:r>
      <w:r>
        <w:t xml:space="preserve"> </w:t>
      </w:r>
      <w:r>
        <w:t xml:space="preserve">Align research topics with the strategic goals of Saudi Arabia Riyadh, particularly those outlined in Vision 2030. Topics related to sustainability, digital transformation, and public health are highly prioritized.</w:t>
      </w:r>
    </w:p>
    <w:p>
      <w:pPr>
        <w:numPr>
          <w:ilvl w:val="0"/>
          <w:numId w:val="1001"/>
        </w:numPr>
        <w:pStyle w:val="Compact"/>
      </w:pPr>
      <w:r>
        <w:rPr>
          <w:bCs/>
          <w:b/>
        </w:rPr>
        <w:t xml:space="preserve">Cultivate Local Partnerships:</w:t>
      </w:r>
      <w:r>
        <w:t xml:space="preserve"> </w:t>
      </w:r>
      <w:r>
        <w:t xml:space="preserve">Engage with local industries and government bodies in Riyadh to secure practical applications for research findings. This enhances the societal impact of the work.</w:t>
      </w:r>
    </w:p>
    <w:p>
      <w:pPr>
        <w:numPr>
          <w:ilvl w:val="0"/>
          <w:numId w:val="1001"/>
        </w:numPr>
        <w:pStyle w:val="Compact"/>
      </w:pPr>
      <w:r>
        <w:t xml:space="preserve">Leverage Technology:</w:t>
      </w:r>
    </w:p>
    <w:bookmarkEnd w:id="26"/>
    <w:bookmarkStart w:id="27" w:name="conclusion"/>
    <w:p>
      <w:pPr>
        <w:pStyle w:val="Heading2"/>
      </w:pPr>
      <w:r>
        <w:t xml:space="preserve">6. Conclusion</w:t>
      </w:r>
    </w:p>
    <w:p>
      <w:pPr>
        <w:pStyle w:val="FirstParagraph"/>
      </w:pPr>
      <w:r>
        <w:t xml:space="preserve">The landscape of academic research is undergoing a profound transformation in Saudi Arabia Riyadh. The role of the Academic Researcher has expanded from that of a solitary scholar to that of a strategic partner in national development. The literature reviewed confirms that while global standards remain non-negotiable, the application of these standards must be contextualized within the unique environment of Riyadh.</w:t>
      </w:r>
    </w:p>
    <w:p>
      <w:pPr>
        <w:pStyle w:val="BodyText"/>
      </w:pPr>
      <w:r>
        <w:t xml:space="preserve">For those committed to this path, there has never been a more opportune time. The convergence of financial investment, political will, and intellectual ambition in Saudi Arabia Riyadh offers an unparalleled platform for impactful scholarship. By embracing both international excellence and local relevance, the Academic Researcher can contribute significantly to the Kingdom’s future while elevating its standing on the global academic stage.</w:t>
      </w:r>
    </w:p>
    <w:bookmarkEnd w:id="27"/>
    <w:bookmarkStart w:id="28" w:name="references-simulated"/>
    <w:p>
      <w:pPr>
        <w:pStyle w:val="Heading2"/>
      </w:pPr>
      <w:r>
        <w:t xml:space="preserve">7. References (Simulated)</w:t>
      </w:r>
    </w:p>
    <w:p>
      <w:pPr>
        <w:numPr>
          <w:ilvl w:val="0"/>
          <w:numId w:val="1002"/>
        </w:numPr>
        <w:pStyle w:val="Compact"/>
      </w:pPr>
      <w:r>
        <w:t xml:space="preserve">Motahar, Y., &amp; Al-Sudairi, H. (2021). *Higher Education Reform in the Gulf: The Case of Saudi Arabia*. Journal of Middle Eastern Studies.</w:t>
      </w:r>
    </w:p>
    <w:p>
      <w:pPr>
        <w:numPr>
          <w:ilvl w:val="0"/>
          <w:numId w:val="1002"/>
        </w:numPr>
        <w:pStyle w:val="Compact"/>
      </w:pPr>
      <w:r>
        <w:t xml:space="preserve">Royal Commission for Riyadh City. (2019). *Riyadh Development Plan 2030: Strategic Frameworks for Urban and Academic Growth*.</w:t>
      </w:r>
    </w:p>
    <w:p>
      <w:pPr>
        <w:numPr>
          <w:ilvl w:val="0"/>
          <w:numId w:val="1002"/>
        </w:numPr>
        <w:pStyle w:val="Compact"/>
      </w:pPr>
      <w:r>
        <w:t xml:space="preserve">Saudi Vision 2030 Program Office. (2016). *National Transformation Program: Human Capability Development*.</w:t>
      </w:r>
    </w:p>
    <w:p>
      <w:pPr>
        <w:numPr>
          <w:ilvl w:val="0"/>
          <w:numId w:val="1002"/>
        </w:numPr>
        <w:pStyle w:val="Compact"/>
      </w:pPr>
      <w:r>
        <w:t xml:space="preserve">Zhang, J., &amp; Al-Ghufaili, M. (2022). *Publishing Ethics and Academic Integrity in Emerging Markets*. International Journal of Academic Research.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Academic Researcher in the Kingdom of Saudi Arabia</dc:title>
  <dc:creator/>
  <dc:language>en</dc:language>
  <cp:keywords/>
  <dcterms:created xsi:type="dcterms:W3CDTF">2026-07-29T19:01:53Z</dcterms:created>
  <dcterms:modified xsi:type="dcterms:W3CDTF">2026-07-29T19:01:53Z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