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Uzbekistan</w:t>
      </w:r>
      <w:r>
        <w:t xml:space="preserve"> </w:t>
      </w:r>
      <w:r>
        <w:t xml:space="preserve">Tashkent</w:t>
      </w:r>
    </w:p>
    <w:bookmarkStart w:id="27" w:name="Xb5c2dd5aaeacdbed7aa28fea4f3a924ea12ef49"/>
    <w:p>
      <w:pPr>
        <w:pStyle w:val="Heading1"/>
      </w:pPr>
      <w:r>
        <w:t xml:space="preserve">Synthesis of Contemporary Scholarship: The Evolution and Strategic Importance of the Academic Researcher in Uzbekistan Tashkent</w:t>
      </w:r>
    </w:p>
    <w:p>
      <w:pPr>
        <w:pStyle w:val="FirstParagraph"/>
      </w:pPr>
      <w:r>
        <w:rPr>
          <w:bCs/>
          <w:b/>
        </w:rPr>
        <w:t xml:space="preserve">Date:</w:t>
      </w:r>
      <w:r>
        <w:t xml:space="preserve"> </w:t>
      </w:r>
      <w:r>
        <w:t xml:space="preserve">May 24, 2024</w:t>
      </w:r>
      <w:r>
        <w:br/>
      </w:r>
      <w:r>
        <w:rPr>
          <w:bCs/>
          <w:b/>
        </w:rPr>
        <w:t xml:space="preserve">Subject:</w:t>
      </w:r>
      <w:r>
        <w:t xml:space="preserve"> </w:t>
      </w:r>
      <w:r>
        <w:rPr>
          <w:bCs/>
          <w:b/>
        </w:rPr>
        <w:t xml:space="preserve">Context:</w:t>
      </w:r>
      <w:r>
        <w:t xml:space="preserve"> </w:t>
      </w:r>
      <w:r>
        <w:t xml:space="preserve">Educational and Scientific Reform in Uzbekistan Tashkent</w:t>
      </w:r>
    </w:p>
    <w:bookmarkStart w:id="20" w:name="i.-introduction"/>
    <w:p>
      <w:pPr>
        <w:pStyle w:val="Heading2"/>
      </w:pPr>
      <w:r>
        <w:t xml:space="preserve">I. Introduction</w:t>
      </w:r>
    </w:p>
    <w:p>
      <w:pPr>
        <w:pStyle w:val="FirstParagraph"/>
      </w:pPr>
      <w:r>
        <w:t xml:space="preserve">The landscape of higher education and scientific inquiry has undergone a radical transformation over the last decade, particularly within Central Asia. This</w:t>
      </w:r>
      <w:r>
        <w:t xml:space="preserve"> </w:t>
      </w:r>
      <w:r>
        <w:rPr>
          <w:bCs/>
          <w:b/>
        </w:rPr>
        <w:t xml:space="preserve">Akademik Researcher</w:t>
      </w:r>
      <w:r>
        <w:t xml:space="preserve"> </w:t>
      </w:r>
      <w:r>
        <w:t xml:space="preserve">report aims to dissect the evolving role of scholars, scientists, and academics who operate within the vibrant intellectual hub of</w:t>
      </w:r>
      <w:r>
        <w:t xml:space="preserve"> </w:t>
      </w:r>
      <w:r>
        <w:rPr>
          <w:bCs/>
          <w:b/>
        </w:rPr>
        <w:t xml:space="preserve">Uzbekistan Tashkent</w:t>
      </w:r>
      <w:r>
        <w:t xml:space="preserve">. As a nation actively integrating into global knowledge economies while preserving its rich historical heritage, Uzbekistan has positioned itself as a critical node for regional stability and innovation. At the heart of this transformation is the academic professional. This document serves not merely as a summary of existing literature but as a strategic analysis of how the modern</w:t>
      </w:r>
      <w:r>
        <w:t xml:space="preserve"> </w:t>
      </w:r>
      <w:r>
        <w:rPr>
          <w:bCs/>
          <w:b/>
        </w:rPr>
        <w:t xml:space="preserve">Academic Researcher</w:t>
      </w:r>
      <w:r>
        <w:t xml:space="preserve"> </w:t>
      </w:r>
      <w:r>
        <w:t xml:space="preserve">functions as an agent of change, driving policy, technological advancement, and cultural dialogue in</w:t>
      </w:r>
      <w:r>
        <w:t xml:space="preserve"> </w:t>
      </w:r>
      <w:r>
        <w:rPr>
          <w:bCs/>
          <w:b/>
        </w:rPr>
        <w:t xml:space="preserve">Uzbekistan Tashkent</w:t>
      </w:r>
      <w:r>
        <w:t xml:space="preserve">.</w:t>
      </w:r>
    </w:p>
    <w:p>
      <w:pPr>
        <w:pStyle w:val="BodyText"/>
      </w:pPr>
      <w:r>
        <w:t xml:space="preserve">The premise of this analysis is that the traditional view of academia—as an isolated tower of ivory—is obsolete. In the context of</w:t>
      </w:r>
      <w:r>
        <w:t xml:space="preserve"> </w:t>
      </w:r>
      <w:r>
        <w:rPr>
          <w:bCs/>
          <w:b/>
        </w:rPr>
        <w:t xml:space="preserve">Uzbekistan Tashkent</w:t>
      </w:r>
      <w:r>
        <w:t xml:space="preserve">, the academic researcher is a dynamic stakeholder in national policy, economic diversification, and international collaboration. By examining recent publications from leading institutions such as Tashkent State University of Law, Namangan University (with its significant campus presence in major urban centers), and various institutes under the National Academy of Sciences, we can trace the trajectory of this professional identity.</w:t>
      </w:r>
    </w:p>
    <w:bookmarkEnd w:id="20"/>
    <w:bookmarkStart w:id="21" w:name="Xef9d24beb2e293125466743e979d6acbd343876"/>
    <w:p>
      <w:pPr>
        <w:pStyle w:val="Heading2"/>
      </w:pPr>
      <w:r>
        <w:t xml:space="preserve">II. The Historical Context and Recent Reforms</w:t>
      </w:r>
    </w:p>
    <w:p>
      <w:pPr>
        <w:pStyle w:val="FirstParagraph"/>
      </w:pPr>
      <w:r>
        <w:t xml:space="preserve">To understand the current state of the</w:t>
      </w:r>
      <w:r>
        <w:t xml:space="preserve"> </w:t>
      </w:r>
      <w:r>
        <w:rPr>
          <w:bCs/>
          <w:b/>
        </w:rPr>
        <w:t xml:space="preserve">Akademik Researcher</w:t>
      </w:r>
      <w:r>
        <w:t xml:space="preserve">, one must first appreciate the historical context. For decades, scientific output in Central Asia was heavily centralized and often isolated from global discourse. However, since 2017, under President Shavkat Mirziyoyev’s reform agenda, Uzbekistan has embarked on a journey of "opening up." This geopolitical shift has had profound implications for universities in</w:t>
      </w:r>
      <w:r>
        <w:t xml:space="preserve"> </w:t>
      </w:r>
      <w:r>
        <w:rPr>
          <w:bCs/>
          <w:b/>
        </w:rPr>
        <w:t xml:space="preserve">Uzbekistan Tashkent</w:t>
      </w:r>
      <w:r>
        <w:t xml:space="preserve">.</w:t>
      </w:r>
    </w:p>
    <w:p>
      <w:pPr>
        <w:pStyle w:val="BodyText"/>
      </w:pPr>
      <w:r>
        <w:t xml:space="preserve">Literature regarding these reforms highlights a shift from quantitative metrics (such as the number of publications) to qualitative impact. The modern</w:t>
      </w:r>
      <w:r>
        <w:t xml:space="preserve"> </w:t>
      </w:r>
      <w:r>
        <w:rPr>
          <w:bCs/>
          <w:b/>
        </w:rPr>
        <w:t xml:space="preserve">Akademik Researcher</w:t>
      </w:r>
      <w:r>
        <w:t xml:space="preserve"> </w:t>
      </w:r>
      <w:r>
        <w:t xml:space="preserve">is no longer evaluated solely on theoretical output but on practical application. In</w:t>
      </w:r>
      <w:r>
        <w:t xml:space="preserve"> </w:t>
      </w:r>
      <w:r>
        <w:rPr>
          <w:bCs/>
          <w:b/>
        </w:rPr>
        <w:t xml:space="preserve">Uzbekistan Tashkent</w:t>
      </w:r>
      <w:r>
        <w:t xml:space="preserve">, this has led to the establishment of innovation hubs, technology transfer offices, and incubators within university walls. The academic researcher is now expected to bridge the gap between laboratory discovery and market viability.</w:t>
      </w:r>
    </w:p>
    <w:bookmarkEnd w:id="21"/>
    <w:bookmarkStart w:id="22" w:name="Xe972464c8b95ff375d9ecaaabca10ddc3bfd10f"/>
    <w:p>
      <w:pPr>
        <w:pStyle w:val="Heading2"/>
      </w:pPr>
      <w:r>
        <w:t xml:space="preserve">III. The Academic Researcher as a Driver of Innovation</w:t>
      </w:r>
    </w:p>
    <w:p>
      <w:pPr>
        <w:pStyle w:val="FirstParagraph"/>
      </w:pPr>
      <w:r>
        <w:t xml:space="preserve">A central theme in contemporary reports regarding</w:t>
      </w:r>
      <w:r>
        <w:t xml:space="preserve"> </w:t>
      </w:r>
      <w:r>
        <w:rPr>
          <w:bCs/>
          <w:b/>
        </w:rPr>
        <w:t xml:space="preserve">Uzbekistan Tashkent</w:t>
      </w:r>
      <w:r>
        <w:t xml:space="preserve"> </w:t>
      </w:r>
      <w:r>
        <w:t xml:space="preserve">is the concept of "Triple Helix" dynamics: the interaction between university, industry, and government. The</w:t>
      </w:r>
      <w:r>
        <w:t xml:space="preserve"> </w:t>
      </w:r>
      <w:r>
        <w:rPr>
          <w:bCs/>
          <w:b/>
        </w:rPr>
        <w:t xml:space="preserve">Akademik Researcher</w:t>
      </w:r>
      <w:r>
        <w:t xml:space="preserve"> </w:t>
      </w:r>
      <w:r>
        <w:t xml:space="preserve">sits at the nexus of this triangle. Recent case studies from IT Park Tashkent reveal that many academic researchers are collaborating directly with tech startups. These researchers are not merely teaching; they are co-founding companies, patenting technologies related to water management, renewable energy, and digital agriculture.</w:t>
      </w:r>
    </w:p>
    <w:p>
      <w:pPr>
        <w:pStyle w:val="BodyText"/>
      </w:pPr>
      <w:r>
        <w:t xml:space="preserve">For instance, research conducted by engineering faculties in</w:t>
      </w:r>
      <w:r>
        <w:t xml:space="preserve"> </w:t>
      </w:r>
      <w:r>
        <w:rPr>
          <w:bCs/>
          <w:b/>
        </w:rPr>
        <w:t xml:space="preserve">Uzbekistan Tashkent</w:t>
      </w:r>
      <w:r>
        <w:t xml:space="preserve"> </w:t>
      </w:r>
      <w:r>
        <w:t xml:space="preserve">has focused on modernizing the irrigation systems of the Amu Darya basin. Here, the academic researcher plays a dual role: as a scientist solving an environmental crisis and as a policy advisor providing data-driven solutions to government officials. This integration demonstrates that in</w:t>
      </w:r>
      <w:r>
        <w:t xml:space="preserve"> </w:t>
      </w:r>
      <w:r>
        <w:rPr>
          <w:bCs/>
          <w:b/>
        </w:rPr>
        <w:t xml:space="preserve">Uzbekistan Tashkent</w:t>
      </w:r>
      <w:r>
        <w:t xml:space="preserve">, academia is no longer peripheral but central to national survival and economic resilience.</w:t>
      </w:r>
    </w:p>
    <w:bookmarkEnd w:id="22"/>
    <w:bookmarkStart w:id="23" w:name="Xa3096e942b3be8cc974d01cab1c43fd969555ad"/>
    <w:p>
      <w:pPr>
        <w:pStyle w:val="Heading2"/>
      </w:pPr>
      <w:r>
        <w:t xml:space="preserve">IV. International Collaboration and Global Visibility</w:t>
      </w:r>
    </w:p>
    <w:p>
      <w:pPr>
        <w:pStyle w:val="FirstParagraph"/>
      </w:pPr>
      <w:r>
        <w:t xml:space="preserve">The globalization of higher education is another critical aspect covered in this analysis. Universities in</w:t>
      </w:r>
      <w:r>
        <w:t xml:space="preserve"> </w:t>
      </w:r>
      <w:r>
        <w:rPr>
          <w:bCs/>
          <w:b/>
        </w:rPr>
        <w:t xml:space="preserve">Uzbekistan Tashkent</w:t>
      </w:r>
      <w:r>
        <w:t xml:space="preserve">, such as the Uzbek National University of World Languages and Tashkent State Technical University, have entered into numerous joint degree programs with European and Asian institutions. The</w:t>
      </w:r>
      <w:r>
        <w:t xml:space="preserve"> </w:t>
      </w:r>
      <w:r>
        <w:rPr>
          <w:bCs/>
          <w:b/>
        </w:rPr>
        <w:t xml:space="preserve">Akademik Researcher</w:t>
      </w:r>
      <w:r>
        <w:t xml:space="preserve"> </w:t>
      </w:r>
      <w:r>
        <w:t xml:space="preserve">is now a global citizen.</w:t>
      </w:r>
    </w:p>
    <w:p>
      <w:pPr>
        <w:pStyle w:val="BodyText"/>
      </w:pPr>
      <w:r>
        <w:t xml:space="preserve">This internationalization requires a new set of skills. Researchers must be proficient in English, adept at cross-cultural communication, and skilled in navigating international grant funding mechanisms. Reports indicate that publications authored by researchers from</w:t>
      </w:r>
      <w:r>
        <w:t xml:space="preserve"> </w:t>
      </w:r>
      <w:r>
        <w:rPr>
          <w:bCs/>
          <w:b/>
        </w:rPr>
        <w:t xml:space="preserve">Uzbekistan Tashkent</w:t>
      </w:r>
      <w:r>
        <w:t xml:space="preserve"> </w:t>
      </w:r>
      <w:r>
        <w:t xml:space="preserve">are increasingly appearing in high-impact factor journals indexed by Scopus and Web of Science. This visibility enhances the soft power of Uzbekistan on the world stage. The academic researcher acts as an ambassador, representing Uzbek culture and scientific capability to a global audience.</w:t>
      </w:r>
    </w:p>
    <w:bookmarkEnd w:id="23"/>
    <w:bookmarkStart w:id="24" w:name="v.-challenges-and-future-directions"/>
    <w:p>
      <w:pPr>
        <w:pStyle w:val="Heading2"/>
      </w:pPr>
      <w:r>
        <w:t xml:space="preserve">V. Challenges and Future Directions</w:t>
      </w:r>
    </w:p>
    <w:p>
      <w:pPr>
        <w:pStyle w:val="FirstParagraph"/>
      </w:pPr>
      <w:r>
        <w:t xml:space="preserve">Despite significant progress, challenges remain for the</w:t>
      </w:r>
      <w:r>
        <w:t xml:space="preserve"> </w:t>
      </w:r>
      <w:r>
        <w:rPr>
          <w:bCs/>
          <w:b/>
        </w:rPr>
        <w:t xml:space="preserve">Akademik Researcher</w:t>
      </w:r>
      <w:r>
        <w:t xml:space="preserve"> </w:t>
      </w:r>
      <w:r>
        <w:t xml:space="preserve">in</w:t>
      </w:r>
      <w:r>
        <w:t xml:space="preserve"> </w:t>
      </w:r>
      <w:r>
        <w:rPr>
          <w:bCs/>
          <w:b/>
        </w:rPr>
        <w:t xml:space="preserve">Uzbekistan Tashkent</w:t>
      </w:r>
      <w:r>
        <w:t xml:space="preserve">. Bureaucratic hurdles, funding inconsistencies, and the need for continuous upskilling are frequently cited in policy papers. Furthermore, there is a pressing need to foster a culture of critical thinking and academic freedom that allows for dissenting viewpoints within research outcomes.</w:t>
      </w:r>
    </w:p>
    <w:p>
      <w:pPr>
        <w:pStyle w:val="BodyText"/>
      </w:pPr>
      <w:r>
        <w:t xml:space="preserve">Looking forward, the role of the academic researcher will likely expand into areas such as artificial intelligence ethics, biosecurity, and sustainable urban planning. The city of</w:t>
      </w:r>
      <w:r>
        <w:t xml:space="preserve"> </w:t>
      </w:r>
      <w:r>
        <w:rPr>
          <w:bCs/>
          <w:b/>
        </w:rPr>
        <w:t xml:space="preserve">Uzbekistan Tashkent</w:t>
      </w:r>
      <w:r>
        <w:t xml:space="preserve">, as a megacity facing rapid urbanization, offers a living laboratory for these studies. Researchers are tasked with developing smart city solutions that improve quality of life while preserving the architectural heritage of the region.</w:t>
      </w:r>
    </w:p>
    <w:bookmarkEnd w:id="24"/>
    <w:bookmarkStart w:id="25" w:name="vi.-conclusion"/>
    <w:p>
      <w:pPr>
        <w:pStyle w:val="Heading2"/>
      </w:pPr>
      <w:r>
        <w:t xml:space="preserve">VI. Conclusion</w:t>
      </w:r>
    </w:p>
    <w:p>
      <w:pPr>
        <w:pStyle w:val="FirstParagraph"/>
      </w:pPr>
      <w:r>
        <w:t xml:space="preserve">In conclusion, this book report synthesis underscores that the</w:t>
      </w:r>
      <w:r>
        <w:t xml:space="preserve"> </w:t>
      </w:r>
      <w:r>
        <w:rPr>
          <w:bCs/>
          <w:b/>
        </w:rPr>
        <w:t xml:space="preserve">Akademik Researcher</w:t>
      </w:r>
      <w:r>
        <w:t xml:space="preserve"> </w:t>
      </w:r>
      <w:r>
        <w:t xml:space="preserve">is no longer a passive observer but an active architect of society in</w:t>
      </w:r>
      <w:r>
        <w:t xml:space="preserve"> </w:t>
      </w:r>
      <w:r>
        <w:rPr>
          <w:bCs/>
          <w:b/>
        </w:rPr>
        <w:t xml:space="preserve">Uzbekistan Tashkent</w:t>
      </w:r>
      <w:r>
        <w:t xml:space="preserve">. The reforms initiated in recent years have created an ecosystem where academic excellence is rewarded, innovation is encouraged, and international collaboration is standard practice. As Uzbekistan continues to position itself as a leader in Central Asia, the contributions of these researchers will be pivotal. They are the intellectual engine driving the nation toward a future defined by knowledge-based economies and sustainable development. Therefore, supporting these professionals through better funding, infrastructure, and academic freedom is not just an educational priority but a national imperative for</w:t>
      </w:r>
      <w:r>
        <w:t xml:space="preserve"> </w:t>
      </w:r>
      <w:r>
        <w:rPr>
          <w:bCs/>
          <w:b/>
        </w:rPr>
        <w:t xml:space="preserve">Uzbekistan Tashkent</w:t>
      </w:r>
      <w:r>
        <w:t xml:space="preserve">.</w:t>
      </w:r>
    </w:p>
    <w:bookmarkEnd w:id="25"/>
    <w:bookmarkStart w:id="26" w:name="vii.-references-selected"/>
    <w:p>
      <w:pPr>
        <w:pStyle w:val="Heading2"/>
      </w:pPr>
      <w:r>
        <w:t xml:space="preserve">VII. References (Selected)</w:t>
      </w:r>
    </w:p>
    <w:p>
      <w:pPr>
        <w:numPr>
          <w:ilvl w:val="0"/>
          <w:numId w:val="1001"/>
        </w:numPr>
        <w:pStyle w:val="Compact"/>
      </w:pPr>
      <w:r>
        <w:t xml:space="preserve">National Academy of Sciences of Uzbekistan. (2023). *Annual Review of Scientific Achievements*. Tashkent: ANS Press.</w:t>
      </w:r>
    </w:p>
    <w:p>
      <w:pPr>
        <w:numPr>
          <w:ilvl w:val="0"/>
          <w:numId w:val="1001"/>
        </w:numPr>
        <w:pStyle w:val="Compact"/>
      </w:pPr>
      <w:r>
        <w:t xml:space="preserve">Karimov, A., &amp; Rakhmonov, B. (2023). "Higher Education Reform in Central Asia: The Case of Uzbekistan." *Journal of Asian Higher Education*, 15(2), 45-67.</w:t>
      </w:r>
    </w:p>
    <w:p>
      <w:pPr>
        <w:numPr>
          <w:ilvl w:val="0"/>
          <w:numId w:val="1001"/>
        </w:numPr>
        <w:pStyle w:val="Compact"/>
      </w:pPr>
      <w:r>
        <w:t xml:space="preserve">World Bank Group. (2023). *Uzbekistan Economic Monitor: Investing in Human Capital*. Washington, D.C.: World Bank.</w:t>
      </w:r>
    </w:p>
    <w:p>
      <w:pPr>
        <w:numPr>
          <w:ilvl w:val="0"/>
          <w:numId w:val="1001"/>
        </w:numPr>
        <w:pStyle w:val="Compact"/>
      </w:pPr>
      <w:r>
        <w:t xml:space="preserve">Tashkent State University of Law. (2024). *Strategic Plan for Internationalization and Research Excellence 2025-2030*.</w:t>
      </w:r>
    </w:p>
    <w:p>
      <w:pPr>
        <w:pStyle w:val="FirstParagraph"/>
      </w:pPr>
      <w:r>
        <w:rPr>
          <w:iCs/>
          <w:i/>
        </w:rPr>
        <w:t xml:space="preserve">Note: This document is formatted as a comprehensive Book Report summary intended for academic administrators, policy makers, and students interested in the sociological and economic roles of academia in</w:t>
      </w:r>
      <w:r>
        <w:rPr>
          <w:iCs/>
          <w:i/>
        </w:rPr>
        <w:t xml:space="preserve"> </w:t>
      </w:r>
      <w:r>
        <w:rPr>
          <w:bCs/>
          <w:b/>
          <w:iCs/>
          <w:i/>
        </w:rPr>
        <w:t xml:space="preserve">Uzbekistan Tashkent</w:t>
      </w:r>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Academic Researcher in Uzbekistan Tashkent</dc:title>
  <dc:creator/>
  <dc:language>en</dc:language>
  <cp:keywords/>
  <dcterms:created xsi:type="dcterms:W3CDTF">2026-07-29T16:09:05Z</dcterms:created>
  <dcterms:modified xsi:type="dcterms:W3CDTF">2026-07-29T16:09:05Z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