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8" w:name="X18fc3b9666091b1a04c843b9942824c7796e539"/>
    <w:p>
      <w:pPr>
        <w:pStyle w:val="Heading1"/>
      </w:pPr>
      <w:r>
        <w:t xml:space="preserve">Book Report: The Strategic Role of the Accountant in Belgium Brussels</w:t>
      </w:r>
    </w:p>
    <w:bookmarkStart w:id="20" w:name="bibliographic-overview-and-scope"/>
    <w:p>
      <w:pPr>
        <w:pStyle w:val="Heading2"/>
      </w:pPr>
      <w:r>
        <w:t xml:space="preserve">Bibliographic Overview and Scope</w:t>
      </w:r>
    </w:p>
    <w:p>
      <w:pPr>
        <w:pStyle w:val="FirstParagraph"/>
      </w:pPr>
      <w:r>
        <w:t xml:space="preserve">This report analyzes the contemporary professional landscape surrounding the role of an</w:t>
      </w:r>
      <w:r>
        <w:t xml:space="preserve"> </w:t>
      </w:r>
      <w:r>
        <w:rPr>
          <w:bCs/>
          <w:b/>
          <w:u w:val="single"/>
          <w:iCs/>
          <w:i/>
          <w:bCs/>
          <w:b/>
        </w:rPr>
        <w:t xml:space="preserve">Accountant</w:t>
      </w:r>
      <w:r>
        <w:t xml:space="preserve">, specifically tailored to the unique regulatory, linguistic, and geopolitical environment of Brussels. While this analysis does not focus on a single fictional narrative or specific textbook title, it synthesizes current professional literature, Belgian fiscal codes (such as the Code of Income Tax 1992), and EU administrative guidelines. The primary objective is to evaluate how an</w:t>
      </w:r>
      <w:r>
        <w:t xml:space="preserve"> </w:t>
      </w:r>
      <w:r>
        <w:rPr>
          <w:bCs/>
          <w:b/>
          <w:u w:val="single"/>
          <w:iCs/>
          <w:i/>
          <w:bCs/>
          <w:b/>
        </w:rPr>
        <w:t xml:space="preserve">Accountant</w:t>
      </w:r>
      <w:r>
        <w:t xml:space="preserve"> </w:t>
      </w:r>
      <w:r>
        <w:t xml:space="preserve">functions not merely as a number-cruncher, but as a strategic compliance officer within the complex ecosystem of</w:t>
      </w:r>
      <w:r>
        <w:t xml:space="preserve"> </w:t>
      </w:r>
      <w:r>
        <w:rPr>
          <w:bCs/>
          <w:b/>
        </w:rPr>
        <w:t xml:space="preserve">Belgium Brussels</w:t>
      </w:r>
      <w:r>
        <w:t xml:space="preserve">. This region serves as the de facto capital of the European Union, creating a distinct hybrid market that requires specialized financial expertise.</w:t>
      </w:r>
    </w:p>
    <w:bookmarkEnd w:id="20"/>
    <w:bookmarkStart w:id="21" w:name="the-unique-context-of-belgium-brussels"/>
    <w:p>
      <w:pPr>
        <w:pStyle w:val="Heading2"/>
      </w:pPr>
      <w:r>
        <w:t xml:space="preserve">The Unique Context of Belgium Brussels</w:t>
      </w:r>
    </w:p>
    <w:p>
      <w:pPr>
        <w:pStyle w:val="FirstParagraph"/>
      </w:pPr>
      <w:r>
        <w:t xml:space="preserve">To understand the value proposition of an accountant in this specific geography, one must first appreciate the duality of</w:t>
      </w:r>
      <w:r>
        <w:t xml:space="preserve"> </w:t>
      </w:r>
      <w:r>
        <w:rPr>
          <w:bCs/>
          <w:b/>
          <w:u w:val="single"/>
          <w:iCs/>
          <w:i/>
          <w:bCs/>
          <w:b/>
        </w:rPr>
        <w:t xml:space="preserve">Belgium Brussels</w:t>
      </w:r>
      <w:r>
        <w:t xml:space="preserve">. As a bilingual region (Dutch and French), it presents immediate linguistic challenges for financial documentation. An accountant operating here must possess high-level proficiency in both languages to navigate local municipal taxes, federal declarations, and cross-border EU subsidies. Unlike other regions where a monolingual approach might suffice, the</w:t>
      </w:r>
      <w:r>
        <w:t xml:space="preserve"> </w:t>
      </w:r>
      <w:r>
        <w:rPr>
          <w:bCs/>
          <w:b/>
        </w:rPr>
        <w:t xml:space="preserve">Accountant</w:t>
      </w:r>
      <w:r>
        <w:t xml:space="preserve"> </w:t>
      </w:r>
      <w:r>
        <w:t xml:space="preserve">in</w:t>
      </w:r>
      <w:r>
        <w:t xml:space="preserve"> </w:t>
      </w:r>
      <w:r>
        <w:rPr>
          <w:bCs/>
          <w:b/>
          <w:u w:val="single"/>
          <w:iCs/>
          <w:i/>
          <w:bCs/>
          <w:b/>
        </w:rPr>
        <w:t xml:space="preserve">Belgium Brussels</w:t>
      </w:r>
      <w:r>
        <w:t xml:space="preserve"> </w:t>
      </w:r>
      <w:r>
        <w:t xml:space="preserve">acts as a translator of regulatory intent.</w:t>
      </w:r>
    </w:p>
    <w:p>
      <w:pPr>
        <w:pStyle w:val="BodyText"/>
      </w:pPr>
      <w:r>
        <w:t xml:space="preserve">Furthermore, the concentration of international institutions—such as the European Commission, NATO headquarters, and numerous NGOs—means that the client base for an accountant in this area is diverse. Clients range from local Belgian SMEs (Small and Medium-sized Enterprises) to large multinational corporations navigating EU compliance. Therefore, the literature suggests that an accountant serving</w:t>
      </w:r>
      <w:r>
        <w:t xml:space="preserve"> </w:t>
      </w:r>
      <w:r>
        <w:rPr>
          <w:bCs/>
          <w:b/>
          <w:u w:val="single"/>
          <w:iCs/>
          <w:i/>
          <w:bCs/>
          <w:b/>
        </w:rPr>
        <w:t xml:space="preserve">Belgium Brussels</w:t>
      </w:r>
      <w:r>
        <w:t xml:space="preserve"> </w:t>
      </w:r>
      <w:r>
        <w:t xml:space="preserve">must have a broader skill set than their counterparts in rural Belgium or other European capitals. They must understand not only national Belgian law but also the implications of EU directives on local accounting practices.</w:t>
      </w:r>
    </w:p>
    <w:bookmarkEnd w:id="21"/>
    <w:bookmarkStart w:id="25" w:name="the-evolving-role-of-the-accountant"/>
    <w:p>
      <w:pPr>
        <w:pStyle w:val="Heading2"/>
      </w:pPr>
      <w:r>
        <w:t xml:space="preserve">The Evolving Role of the Accountant</w:t>
      </w:r>
    </w:p>
    <w:p>
      <w:pPr>
        <w:pStyle w:val="FirstParagraph"/>
      </w:pPr>
      <w:r>
        <w:t xml:space="preserve">Traditional literature often portrays the accountant as a historical recorder of financial transactions. However, recent publications emphasize a shift toward advisory roles. In</w:t>
      </w:r>
      <w:r>
        <w:t xml:space="preserve"> </w:t>
      </w:r>
      <w:r>
        <w:rPr>
          <w:bCs/>
          <w:b/>
          <w:u w:val="single"/>
          <w:iCs/>
          <w:i/>
          <w:bCs/>
          <w:b/>
        </w:rPr>
        <w:t xml:space="preserve">Belgium Brussels</w:t>
      </w:r>
      <w:r>
        <w:t xml:space="preserve">, this evolution is accelerated by the high cost of labor and strict enforcement of social security contributions. An</w:t>
      </w:r>
      <w:r>
        <w:t xml:space="preserve"> </w:t>
      </w:r>
      <w:r>
        <w:rPr>
          <w:u w:val="single"/>
          <w:iCs/>
          <w:i/>
          <w:bCs/>
          <w:b/>
        </w:rPr>
        <w:t xml:space="preserve">Accountant</w:t>
      </w:r>
      <w:r>
        <w:t xml:space="preserve"> </w:t>
      </w:r>
      <w:r>
        <w:t xml:space="preserve">here is expected to be a proactive strategist.</w:t>
      </w:r>
    </w:p>
    <w:bookmarkStart w:id="22" w:name="compliance-and-regulatory-navigation"/>
    <w:p>
      <w:pPr>
        <w:pStyle w:val="Heading3"/>
      </w:pPr>
      <w:r>
        <w:t xml:space="preserve">1. Compliance and Regulatory Navigation</w:t>
      </w:r>
    </w:p>
    <w:p>
      <w:pPr>
        <w:pStyle w:val="FirstParagraph"/>
      </w:pPr>
      <w:r>
        <w:t xml:space="preserve">The Belgian tax system is notoriously complex, characterized by a multi-layered structure involving federal, regional (Flemish, Walloon, Brussels-Capital), and local authorities. For an accountant in this region, the burden of proof is high. Documentation must be impeccable. The report highlights that errors in VAT declarations or payroll taxes can lead to severe penalties due to the rigorous auditing standards present in</w:t>
      </w:r>
      <w:r>
        <w:t xml:space="preserve"> </w:t>
      </w:r>
      <w:r>
        <w:rPr>
          <w:bCs/>
          <w:b/>
          <w:u w:val="single"/>
          <w:iCs/>
          <w:i/>
          <w:bCs/>
          <w:b/>
        </w:rPr>
        <w:t xml:space="preserve">Belgium Brussels</w:t>
      </w:r>
      <w:r>
        <w:t xml:space="preserve">. Therefore, technical precision is the foundational pillar of the accountant’s role.</w:t>
      </w:r>
    </w:p>
    <w:bookmarkEnd w:id="22"/>
    <w:bookmarkStart w:id="23" w:name="digital-transformation-and-automation"/>
    <w:p>
      <w:pPr>
        <w:pStyle w:val="Heading3"/>
      </w:pPr>
      <w:r>
        <w:t xml:space="preserve">2. Digital Transformation and Automation</w:t>
      </w:r>
    </w:p>
    <w:p>
      <w:pPr>
        <w:pStyle w:val="FirstParagraph"/>
      </w:pPr>
      <w:r>
        <w:t xml:space="preserve">A significant portion of modern accounting literature discusses the impact of digitalization. In</w:t>
      </w:r>
      <w:r>
        <w:t xml:space="preserve"> </w:t>
      </w:r>
      <w:r>
        <w:rPr>
          <w:bCs/>
          <w:b/>
          <w:u w:val="single"/>
          <w:iCs/>
          <w:i/>
          <w:bCs/>
          <w:b/>
        </w:rPr>
        <w:t xml:space="preserve">Belgium Brussels</w:t>
      </w:r>
      <w:r>
        <w:t xml:space="preserve">, there is a strong push toward "e-filing" and digital invoicing mandated by federal reforms. The accountant must now be tech-savvy, capable of implementing accounting software that integrates seamlessly with government portals like the Federal Public Service Finance (FPS Finance). This technological integration reduces human error and increases efficiency, allowing the</w:t>
      </w:r>
      <w:r>
        <w:t xml:space="preserve"> </w:t>
      </w:r>
      <w:r>
        <w:rPr>
          <w:u w:val="single"/>
          <w:iCs/>
          <w:i/>
          <w:bCs/>
          <w:b/>
        </w:rPr>
        <w:t xml:space="preserve">Accountant</w:t>
      </w:r>
      <w:r>
        <w:t xml:space="preserve"> </w:t>
      </w:r>
      <w:r>
        <w:t xml:space="preserve">to focus more on analysis rather than data entry.</w:t>
      </w:r>
    </w:p>
    <w:bookmarkEnd w:id="23"/>
    <w:bookmarkStart w:id="24" w:name="cross-border-financial-complexity"/>
    <w:p>
      <w:pPr>
        <w:pStyle w:val="Heading3"/>
      </w:pPr>
      <w:r>
        <w:t xml:space="preserve">3. Cross-Border Financial Complexity</w:t>
      </w:r>
    </w:p>
    <w:p>
      <w:pPr>
        <w:pStyle w:val="FirstParagraph"/>
      </w:pPr>
      <w:r>
        <w:t xml:space="preserve">A distinguishing feature of accounting in Brussels is the prevalence of cross-border workers (frontaliers). Thousands of individuals live in France, Netherlands, or Germany but work in Brussels. An accountant must be well-versed in double taxation treaties and social security coordination within the EU. This specific niche adds a layer of complexity that requires continuous professional education. The</w:t>
      </w:r>
      <w:r>
        <w:t xml:space="preserve"> </w:t>
      </w:r>
      <w:r>
        <w:rPr>
          <w:u w:val="single"/>
          <w:iCs/>
          <w:i/>
          <w:bCs/>
          <w:b/>
        </w:rPr>
        <w:t xml:space="preserve">Accountant</w:t>
      </w:r>
      <w:r>
        <w:t xml:space="preserve"> </w:t>
      </w:r>
      <w:r>
        <w:t xml:space="preserve">serving these clients acts as a liaison between Belgian authorities and foreign tax bodies, ensuring compliance on both sides.</w:t>
      </w:r>
    </w:p>
    <w:bookmarkEnd w:id="24"/>
    <w:bookmarkEnd w:id="25"/>
    <w:bookmarkStart w:id="26" w:name="X2e3a971ce519929cc74df70108166247bfbb09a"/>
    <w:p>
      <w:pPr>
        <w:pStyle w:val="Heading2"/>
      </w:pPr>
      <w:r>
        <w:t xml:space="preserve">Ethical Standards and Professional Integrity</w:t>
      </w:r>
    </w:p>
    <w:p>
      <w:pPr>
        <w:pStyle w:val="FirstParagraph"/>
      </w:pPr>
      <w:r>
        <w:t xml:space="preserve">In any financial report, ethical considerations are paramount. The accounting profession in Belgium is regulated by orders of accountants (Ordre des Experts-Comptables / Orde van Accountants). The literature emphasizes that integrity, objectivity, and professional competence are non-negotiable. In the high-pressure environment of</w:t>
      </w:r>
      <w:r>
        <w:t xml:space="preserve"> </w:t>
      </w:r>
      <w:r>
        <w:rPr>
          <w:bCs/>
          <w:b/>
          <w:u w:val="single"/>
          <w:iCs/>
          <w:i/>
          <w:bCs/>
          <w:b/>
        </w:rPr>
        <w:t xml:space="preserve">Belgium Brussels</w:t>
      </w:r>
      <w:r>
        <w:t xml:space="preserve">, where political lobbying and corporate competition are intense, the accountant’s independence is crucial. They serve as a check against financial mismanagement and fraud, maintaining the integrity of public and private capital.</w:t>
      </w:r>
    </w:p>
    <w:bookmarkEnd w:id="26"/>
    <w:bookmarkStart w:id="27" w:name="conclusion-the-strategic-imperative"/>
    <w:p>
      <w:pPr>
        <w:pStyle w:val="Heading2"/>
      </w:pPr>
      <w:r>
        <w:t xml:space="preserve">Conclusion: The Strategic Imperative</w:t>
      </w:r>
    </w:p>
    <w:p>
      <w:pPr>
        <w:pStyle w:val="FirstParagraph"/>
      </w:pPr>
      <w:r>
        <w:t xml:space="preserve">In conclusion, this analysis confirms that the role of an</w:t>
      </w:r>
      <w:r>
        <w:t xml:space="preserve"> </w:t>
      </w:r>
      <w:r>
        <w:rPr>
          <w:bCs/>
          <w:b/>
          <w:u w:val="single"/>
          <w:iCs/>
          <w:i/>
          <w:bCs/>
          <w:b/>
        </w:rPr>
        <w:t xml:space="preserve">Accountant</w:t>
      </w:r>
      <w:r>
        <w:t xml:space="preserve"> </w:t>
      </w:r>
      <w:r>
        <w:t xml:space="preserve">in</w:t>
      </w:r>
    </w:p>
    <w:p>
      <w:pPr>
        <w:pStyle w:val="BodyText"/>
      </w:pPr>
      <w:r>
        <w:rPr>
          <w:bCs/>
          <w:b/>
          <w:u w:val="single"/>
          <w:iCs/>
          <w:i/>
        </w:rPr>
        <w:t xml:space="preserve">Belgium Brussels</w:t>
      </w:r>
      <w:r>
        <w:t xml:space="preserve">&gt; is multifaceted and critical to economic stability. It transcends basic bookkeeping. The accountant here is a legal advisor, a tax strategist, a technology consultant, and an ethical guardian.</w:t>
      </w:r>
    </w:p>
    <w:p>
      <w:pPr>
        <w:pStyle w:val="BodyText"/>
      </w:pPr>
      <w:r>
        <w:t xml:space="preserve">The specific demands of the Brussels region—its bilingual nature, its status as an international hub, and its complex federal structure—require accountants to be highly specialized. Businesses operating in or interacting with this jurisdiction cannot afford generic financial advice; they require expertise that is deeply rooted in the local realities of Belgium while maintaining a European perspective.</w:t>
      </w:r>
    </w:p>
    <w:p>
      <w:pPr>
        <w:pStyle w:val="BodyText"/>
      </w:pPr>
      <w:r>
        <w:t xml:space="preserve">Therefore, for any entity planning to operate within</w:t>
      </w:r>
    </w:p>
    <w:p>
      <w:pPr>
        <w:pStyle w:val="BodyText"/>
      </w:pPr>
      <w:r>
        <w:rPr>
          <w:bCs/>
          <w:b/>
          <w:u w:val="single"/>
          <w:iCs/>
          <w:i/>
        </w:rPr>
        <w:t xml:space="preserve">Belgium Brussels</w:t>
      </w:r>
      <w:r>
        <w:t xml:space="preserve">&gt;, engaging a qualified accountant is not merely an administrative necessity but a strategic imperative. The value generated by an accountant in this context lies in their ability to navigate complexity, ensure compliance, and provide insights that drive sustainable growth amidst regulatory challenges.</w:t>
      </w:r>
    </w:p>
    <w:p>
      <w:r>
        <w:pict>
          <v:rect style="width:0;height:1.5pt" o:hralign="center" o:hrstd="t" o:hr="t"/>
        </w:pict>
      </w:r>
    </w:p>
    <w:p>
      <w:pPr>
        <w:pStyle w:val="FirstParagraph"/>
      </w:pPr>
      <w:r>
        <w:rPr>
          <w:bCs/>
          <w:b/>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the Context of Belgium Brussels</dc:title>
  <dc:creator/>
  <dc:language>en</dc:language>
  <cp:keywords/>
  <dcterms:created xsi:type="dcterms:W3CDTF">2026-07-29T17:32:39Z</dcterms:created>
  <dcterms:modified xsi:type="dcterms:W3CDTF">2026-07-29T17:32:39Z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