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Accountants</w:t>
      </w:r>
      <w:r>
        <w:t xml:space="preserve"> </w:t>
      </w:r>
      <w:r>
        <w:t xml:space="preserve">in</w:t>
      </w:r>
      <w:r>
        <w:t xml:space="preserve"> </w:t>
      </w:r>
      <w:r>
        <w:t xml:space="preserve">Canada,</w:t>
      </w:r>
      <w:r>
        <w:t xml:space="preserve"> </w:t>
      </w:r>
      <w:r>
        <w:t xml:space="preserve">Specifically</w:t>
      </w:r>
      <w:r>
        <w:t xml:space="preserve"> </w:t>
      </w:r>
      <w:r>
        <w:t xml:space="preserve">Montreal</w:t>
      </w:r>
    </w:p>
    <w:bookmarkStart w:id="26" w:name="X77030ae9758a3d35110c713a0601be67b74aa53"/>
    <w:p>
      <w:pPr>
        <w:pStyle w:val="Heading1"/>
      </w:pPr>
      <w:r>
        <w:t xml:space="preserve">The Strategic Backbone of Commerce:</w:t>
      </w:r>
      <w:r>
        <w:br/>
      </w:r>
      <w:r>
        <w:t xml:space="preserve">A Comprehensive Book Report on Accounting Standards in Canada and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Financial Review Committee</w:t>
      </w:r>
      <w:r>
        <w:br/>
      </w:r>
    </w:p>
    <w:p>
      <w:pPr>
        <w:pStyle w:val="BodyText"/>
      </w:pPr>
      <w:r>
        <w:t xml:space="preserve">Senior Analyst</w:t>
      </w:r>
      <w:r>
        <w:br/>
      </w:r>
    </w:p>
    <w:p>
      <w:pPr>
        <w:pStyle w:val="BodyText"/>
      </w:pPr>
      <w:r>
        <w:t xml:space="preserve">: Critical Analysis of Contemporary Accounting Literature Regarding Practice in Canada, with a Focus on Montreal</w:t>
      </w:r>
    </w:p>
    <w:bookmarkStart w:id="20" w:name="i.-introduction-and-scope"/>
    <w:p>
      <w:pPr>
        <w:pStyle w:val="Heading2"/>
      </w:pPr>
      <w:r>
        <w:t xml:space="preserve">I. Introduction and Scope</w:t>
      </w:r>
    </w:p>
    <w:p>
      <w:pPr>
        <w:pStyle w:val="FirstParagraph"/>
      </w:pPr>
      <w:r>
        <w:t xml:space="preserve">This book report serves as an in-depth review of the current literature surrounding the profession of an</w:t>
      </w:r>
      <w:r>
        <w:t xml:space="preserve"> </w:t>
      </w:r>
      <w:r>
        <w:rPr>
          <w:bCs/>
          <w:b/>
        </w:rPr>
        <w:t xml:space="preserve">Accountant</w:t>
      </w:r>
      <w:r>
        <w:t xml:space="preserve">. In recent years, the scope of accounting has expanded far beyond traditional ledger-keeping into strategic advisory, regulatory compliance, and digital transformation. This analysis specifically contextualizes these developments within</w:t>
      </w:r>
      <w:r>
        <w:t xml:space="preserve"> </w:t>
      </w:r>
      <w:r>
        <w:rPr>
          <w:bCs/>
          <w:b/>
        </w:rPr>
        <w:t xml:space="preserve">Canada Montreal</w:t>
      </w:r>
      <w:r>
        <w:t xml:space="preserve">, a unique economic hub where bilingualism and dual legal systems create distinct operational challenges for financial professionals. The primary objective of this report is to evaluate how modern accounting frameworks address the specific needs of businesses operating in this region, ensuring that the advice provided is both globally competitive and locally compliant.</w:t>
      </w:r>
    </w:p>
    <w:bookmarkEnd w:id="20"/>
    <w:bookmarkStart w:id="21" w:name="ii.-the-evolving-role-of-the-accountant"/>
    <w:p>
      <w:pPr>
        <w:pStyle w:val="Heading2"/>
      </w:pPr>
      <w:r>
        <w:t xml:space="preserve">II. The Evolving Role of the Accountant</w:t>
      </w:r>
    </w:p>
    <w:p>
      <w:pPr>
        <w:pStyle w:val="FirstParagraph"/>
      </w:pPr>
      <w:r>
        <w:t xml:space="preserve">The literature consistently emphasizes that the traditional</w:t>
      </w:r>
      <w:r>
        <w:t xml:space="preserve"> </w:t>
      </w:r>
      <w:r>
        <w:rPr>
          <w:bCs/>
          <w:b/>
        </w:rPr>
        <w:t xml:space="preserve">Accountant</w:t>
      </w:r>
      <w:r>
        <w:t xml:space="preserve"> </w:t>
      </w:r>
      <w:r>
        <w:t xml:space="preserve">is no longer merely a historian of financial transactions but a forward-looking strategic partner. Modern texts argue that value creation in accounting comes from interpretation rather than just compilation. For professionals operating in major economic centers, this shift requires a deep understanding of international standards alongside local nuances.</w:t>
      </w:r>
    </w:p>
    <w:p>
      <w:pPr>
        <w:pStyle w:val="BodyText"/>
      </w:pPr>
      <w:r>
        <w:t xml:space="preserve">A key theme explored in the reviewed materials is the integration of technology. The adoption of artificial intelligence and cloud-based solutions has revolutionized how an</w:t>
      </w:r>
      <w:r>
        <w:t xml:space="preserve"> </w:t>
      </w:r>
      <w:r>
        <w:rPr>
          <w:bCs/>
          <w:b/>
        </w:rPr>
        <w:t xml:space="preserve">Accountant</w:t>
      </w:r>
      <w:r>
        <w:t xml:space="preserve"> </w:t>
      </w:r>
      <w:r>
        <w:t xml:space="preserve">delivers services. Automation has reduced the time spent on data entry, allowing professionals to focus on analysis, risk management, and client counseling. This technological shift is particularly relevant in</w:t>
      </w:r>
      <w:r>
        <w:t xml:space="preserve"> </w:t>
      </w:r>
      <w:r>
        <w:rPr>
          <w:bCs/>
          <w:b/>
        </w:rPr>
        <w:t xml:space="preserve">Canada Montreal</w:t>
      </w:r>
      <w:r>
        <w:t xml:space="preserve">, where startups and multinational corporations alike are driving demand for agile financial reporting systems that can handle real-time data processing.</w:t>
      </w:r>
    </w:p>
    <w:bookmarkEnd w:id="21"/>
    <w:bookmarkStart w:id="22" w:name="Xcc5a946ca4a93123f93ea309b0353e228c052f6"/>
    <w:p>
      <w:pPr>
        <w:pStyle w:val="Heading2"/>
      </w:pPr>
      <w:r>
        <w:t xml:space="preserve">III. Regulatory Frameworks: The Canadian Context</w:t>
      </w:r>
    </w:p>
    <w:p>
      <w:pPr>
        <w:pStyle w:val="FirstParagraph"/>
      </w:pPr>
      <w:r>
        <w:t xml:space="preserve">A significant portion of the reviewed literature dedicates substantial attention to the regulatory environment in Canada. The transition from National Institute of Accountants (CICA) standards to the adoption of International Financial Reporting Standards (IFRS) marked a pivotal moment for Canadian accounting. This report highlights that compliance with these international standards is no longer optional for many public companies but is deeply embedded in the corporate culture of</w:t>
      </w:r>
      <w:r>
        <w:t xml:space="preserve"> </w:t>
      </w:r>
      <w:r>
        <w:rPr>
          <w:bCs/>
          <w:b/>
        </w:rPr>
        <w:t xml:space="preserve">Canada Montreal</w:t>
      </w:r>
      <w:r>
        <w:t xml:space="preserve">.</w:t>
      </w:r>
    </w:p>
    <w:p>
      <w:pPr>
        <w:pStyle w:val="BodyText"/>
      </w:pPr>
      <w:r>
        <w:t xml:space="preserve">The text details how the Chartered Professional Accountant (CPA) designation has unified the profession under a single standard, replacing previously separate designations such as CA, CGA, and CMA. This unification ensures that an</w:t>
      </w:r>
      <w:r>
        <w:t xml:space="preserve"> </w:t>
      </w:r>
      <w:r>
        <w:rPr>
          <w:bCs/>
          <w:b/>
        </w:rPr>
        <w:t xml:space="preserve">Accountant</w:t>
      </w:r>
      <w:r>
        <w:t xml:space="preserve"> </w:t>
      </w:r>
      <w:r>
        <w:t xml:space="preserve">practicing anywhere in Canada meets rigorous ethical and competency requirements. The literature stresses that maintaining this high level of professionalism is crucial for maintaining investor confidence in the volatile global markets.</w:t>
      </w:r>
    </w:p>
    <w:bookmarkEnd w:id="22"/>
    <w:bookmarkStart w:id="23" w:name="iv.-specific-considerations-for-montreal"/>
    <w:p>
      <w:pPr>
        <w:pStyle w:val="Heading2"/>
      </w:pPr>
      <w:r>
        <w:t xml:space="preserve">IV. Specific Considerations for Montreal</w:t>
      </w:r>
    </w:p>
    <w:p>
      <w:pPr>
        <w:pStyle w:val="FirstParagraph"/>
      </w:pPr>
      <w:r>
        <w:t xml:space="preserve">The unique position of</w:t>
      </w:r>
      <w:r>
        <w:t xml:space="preserve"> </w:t>
      </w:r>
      <w:r>
        <w:rPr>
          <w:bCs/>
          <w:b/>
        </w:rPr>
        <w:t xml:space="preserve">Canada Montreal</w:t>
      </w:r>
      <w:r>
        <w:br/>
      </w:r>
      <w:r>
        <w:t xml:space="preserve">as a cultural and economic bridge between North America and Francophone Europe presents specific accounting challenges that are thoroughly analyzed in this report. The bilingual nature of the jurisdiction means that financial reporting often requires precise translation not just of language, but of legal and regulatory terminology. An effective</w:t>
      </w:r>
      <w:r>
        <w:t xml:space="preserve"> </w:t>
      </w:r>
      <w:r>
        <w:rPr>
          <w:bCs/>
          <w:b/>
        </w:rPr>
        <w:t xml:space="preserve">Accountant</w:t>
      </w:r>
      <w:r>
        <w:t xml:space="preserve"> </w:t>
      </w:r>
      <w:r>
        <w:t xml:space="preserve">in this region must be adept at navigating both Common Law practices (often relevant for federal corporations) and Civil Code traditions (specific to Quebec law).</w:t>
      </w:r>
    </w:p>
    <w:p>
      <w:pPr>
        <w:pStyle w:val="BodyText"/>
      </w:pPr>
      <w:r>
        <w:t xml:space="preserve">The report identifies several key areas where local expertise is paramount:</w:t>
      </w:r>
    </w:p>
    <w:p>
      <w:pPr>
        <w:numPr>
          <w:ilvl w:val="0"/>
          <w:numId w:val="1001"/>
        </w:numPr>
        <w:pStyle w:val="Compact"/>
      </w:pPr>
      <w:r>
        <w:rPr>
          <w:bCs/>
          <w:b/>
        </w:rPr>
        <w:t xml:space="preserve">Tax Planning:</w:t>
      </w:r>
      <w:r>
        <w:t xml:space="preserve"> </w:t>
      </w:r>
      <w:r>
        <w:t xml:space="preserve">Navigating the interplay between federal taxes administered by the Canada Revenue Agency and provincial taxes managed by Revenu Québec requires nuanced understanding. The literature suggests that specialized knowledge in Quebec-specific tax credits and incentives is a critical differentiator for an</w:t>
      </w:r>
      <w:r>
        <w:t xml:space="preserve"> </w:t>
      </w:r>
      <w:r>
        <w:rPr>
          <w:bCs/>
          <w:b/>
        </w:rPr>
        <w:t xml:space="preserve">Accountant</w:t>
      </w:r>
      <w:r>
        <w:t xml:space="preserve"> </w:t>
      </w:r>
      <w:r>
        <w:t xml:space="preserve">serving local businesses.</w:t>
      </w:r>
    </w:p>
    <w:p>
      <w:pPr>
        <w:numPr>
          <w:ilvl w:val="0"/>
          <w:numId w:val="1001"/>
        </w:numPr>
        <w:pStyle w:val="Compact"/>
      </w:pPr>
      <w:r>
        <w:rPr>
          <w:bCs/>
          <w:b/>
        </w:rPr>
        <w:t xml:space="preserve">Labor Law Compliance:</w:t>
      </w:r>
      <w:r>
        <w:t xml:space="preserve"> </w:t>
      </w:r>
      <w:r>
        <w:t xml:space="preserve">Quebec’s labor laws are distinct from the rest of Canada, particularly regarding employment standards and unionization processes. An</w:t>
      </w:r>
      <w:r>
        <w:t xml:space="preserve"> </w:t>
      </w:r>
      <w:r>
        <w:rPr>
          <w:bCs/>
          <w:b/>
        </w:rPr>
        <w:t xml:space="preserve">Accountant</w:t>
      </w:r>
      <w:r>
        <w:t xml:space="preserve"> </w:t>
      </w:r>
      <w:r>
        <w:t xml:space="preserve">must ensure that payroll systems and liability estimates accurately reflect these regulatory differences.</w:t>
      </w:r>
    </w:p>
    <w:p>
      <w:pPr>
        <w:numPr>
          <w:ilvl w:val="0"/>
          <w:numId w:val="1001"/>
        </w:numPr>
        <w:pStyle w:val="Compact"/>
      </w:pPr>
      <w:r>
        <w:rPr>
          <w:bCs/>
          <w:b/>
        </w:rPr>
        <w:t xml:space="preserve">Cultural Nuances in Business Ethics:</w:t>
      </w:r>
      <w:r>
        <w:t xml:space="preserve"> </w:t>
      </w:r>
      <w:r>
        <w:t xml:space="preserve">The book discusses how cultural context influences ethical decision-making. In</w:t>
      </w:r>
      <w:r>
        <w:t xml:space="preserve"> </w:t>
      </w:r>
      <w:r>
        <w:rPr>
          <w:bCs/>
          <w:b/>
        </w:rPr>
        <w:t xml:space="preserve">Canada Montreal</w:t>
      </w:r>
      <w:r>
        <w:t xml:space="preserve">, maintaining trust with a diverse clientele requires sensitivity to both Anglophone and Francophone business customs, influencing how financial advice is communicated and perceived.</w:t>
      </w:r>
    </w:p>
    <w:bookmarkEnd w:id="23"/>
    <w:bookmarkStart w:id="24" w:name="X2ef032c3d2163b64ac533bbc79997e063c1556c"/>
    <w:p>
      <w:pPr>
        <w:pStyle w:val="Heading2"/>
      </w:pPr>
      <w:r>
        <w:t xml:space="preserve">V. Technological Adaptation in Local Markets</w:t>
      </w:r>
    </w:p>
    <w:p>
      <w:pPr>
        <w:pStyle w:val="FirstParagraph"/>
      </w:pPr>
      <w:r>
        <w:t xml:space="preserve">The integration of digital tools in</w:t>
      </w:r>
      <w:r>
        <w:t xml:space="preserve"> </w:t>
      </w:r>
      <w:r>
        <w:rPr>
          <w:bCs/>
          <w:b/>
        </w:rPr>
        <w:t xml:space="preserve">Canada Montreal</w:t>
      </w:r>
      <w:r>
        <w:br/>
      </w:r>
      <w:r>
        <w:t xml:space="preserve">is highlighted as a major trend. The reviewed texts note that firms in this city are early adopters of blockchain for audit trails and advanced data analytics for predictive modeling. For an</w:t>
      </w:r>
      <w:r>
        <w:t xml:space="preserve"> </w:t>
      </w:r>
      <w:r>
        <w:rPr>
          <w:bCs/>
          <w:b/>
        </w:rPr>
        <w:t xml:space="preserve">Accountant</w:t>
      </w:r>
      <w:r>
        <w:t xml:space="preserve">, staying current with these technologies is not just about efficiency; it is about providing competitive advantage to clients who operate in a global marketplace.</w:t>
      </w:r>
    </w:p>
    <w:p>
      <w:pPr>
        <w:pStyle w:val="BodyText"/>
      </w:pPr>
      <w:r>
        <w:t xml:space="preserve">The report also touches upon cybersecurity. As financial data moves online, the responsibility of the</w:t>
      </w:r>
      <w:r>
        <w:t xml:space="preserve"> </w:t>
      </w:r>
      <w:r>
        <w:rPr>
          <w:bCs/>
          <w:b/>
        </w:rPr>
        <w:t xml:space="preserve">Accountant</w:t>
      </w:r>
      <w:r>
        <w:t xml:space="preserve"> </w:t>
      </w:r>
      <w:r>
        <w:t xml:space="preserve">extends to data protection. In</w:t>
      </w:r>
      <w:r>
        <w:t xml:space="preserve"> </w:t>
      </w:r>
      <w:r>
        <w:rPr>
          <w:bCs/>
          <w:b/>
        </w:rPr>
        <w:t xml:space="preserve">Canada Montreal</w:t>
      </w:r>
      <w:r>
        <w:t xml:space="preserve">, where many firms serve international clients, adhering to strict data privacy regulations (such as PIPEDA in Canada and similar provincial acts) is essential for legal compliance and reputational safety.</w:t>
      </w:r>
    </w:p>
    <w:bookmarkEnd w:id="24"/>
    <w:bookmarkStart w:id="25" w:name="vi.-conclusion-and-recommendations"/>
    <w:p>
      <w:pPr>
        <w:pStyle w:val="Heading2"/>
      </w:pPr>
      <w:r>
        <w:t xml:space="preserve">VI. Conclusion and Recommendations</w:t>
      </w:r>
    </w:p>
    <w:p>
      <w:pPr>
        <w:pStyle w:val="FirstParagraph"/>
      </w:pPr>
      <w:r>
        <w:t xml:space="preserve">In conclusion, this book report underscores that the profession of an</w:t>
      </w:r>
      <w:r>
        <w:t xml:space="preserve"> </w:t>
      </w:r>
      <w:r>
        <w:rPr>
          <w:bCs/>
          <w:b/>
        </w:rPr>
        <w:t xml:space="preserve">Accountant</w:t>
      </w:r>
      <w:r>
        <w:br/>
      </w:r>
      <w:r>
        <w:t xml:space="preserve">in</w:t>
      </w:r>
      <w:r>
        <w:t xml:space="preserve"> </w:t>
      </w:r>
      <w:r>
        <w:rPr>
          <w:bCs/>
          <w:b/>
        </w:rPr>
        <w:t xml:space="preserve">Canada Montreal</w:t>
      </w:r>
      <w:r>
        <w:br/>
      </w:r>
      <w:r>
        <w:t xml:space="preserve">is complex, multifaceted, and rapidly evolving. It is no longer sufficient to rely solely on technical knowledge of debits and credits. Modern success in this field requires a holistic approach that combines international regulatory compliance with deep local expertise in Quebec’s legal and tax systems.</w:t>
      </w:r>
    </w:p>
    <w:p>
      <w:pPr>
        <w:pStyle w:val="BodyText"/>
      </w:pPr>
      <w:r>
        <w:t xml:space="preserve">For firms operating in</w:t>
      </w:r>
      <w:r>
        <w:t xml:space="preserve"> </w:t>
      </w:r>
      <w:r>
        <w:rPr>
          <w:bCs/>
          <w:b/>
        </w:rPr>
        <w:t xml:space="preserve">Canada Montreal</w:t>
      </w:r>
      <w:r>
        <w:t xml:space="preserve">, the recommendations derived from this literature are clear: invest heavily in continuous professional development for all staff, ensure bilingual capabilities are maintained at the highest level of financial communication, and embrace technological innovation to enhance service delivery. By doing so, an</w:t>
      </w:r>
      <w:r>
        <w:t xml:space="preserve"> </w:t>
      </w:r>
      <w:r>
        <w:rPr>
          <w:bCs/>
          <w:b/>
        </w:rPr>
        <w:t xml:space="preserve">Accountant</w:t>
      </w:r>
      <w:r>
        <w:t xml:space="preserve"> </w:t>
      </w:r>
      <w:r>
        <w:t xml:space="preserve">can provide invaluable strategic guidance that supports sustainable business growth in this vibrant economic center.</w:t>
      </w:r>
    </w:p>
    <w:p>
      <w:pPr>
        <w:pStyle w:val="BodyText"/>
      </w:pPr>
      <w:r>
        <w:t xml:space="preserve">The future of accounting lies in the ability to interpret data within its specific cultural and legal context. For professionals based in</w:t>
      </w:r>
      <w:r>
        <w:t xml:space="preserve"> </w:t>
      </w:r>
      <w:r>
        <w:rPr>
          <w:bCs/>
          <w:b/>
        </w:rPr>
        <w:t xml:space="preserve">Canada Montreal</w:t>
      </w:r>
      <w:r>
        <w:t xml:space="preserve">, mastering this intersection of global standards and local particularities is the key to long-term professional success.</w:t>
      </w:r>
    </w:p>
    <w:p>
      <w:pPr>
        <w:pStyle w:val="BodyText"/>
      </w:pPr>
      <w:r>
        <w:rPr>
          <w:iCs/>
          <w:i/>
        </w:rPr>
        <w:t xml:space="preserve">This document has been prepared for internal review purposes. All references to accounting standards pertain to the current regulatory environment in Canada as of the date of this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Book Report: The Role and Evolution of Accountants in Canada, Specifically Montreal</dc:title>
  <dc:creator/>
  <cp:keywords/>
  <dcterms:created xsi:type="dcterms:W3CDTF">2026-07-30T02:17:39Z</dcterms:created>
  <dcterms:modified xsi:type="dcterms:W3CDTF">2026-07-30T02:17:39Z</dcterms:modified>
</cp:coreProperties>
</file>

<file path=docProps/custom.xml><?xml version="1.0" encoding="utf-8"?>
<Properties xmlns="http://schemas.openxmlformats.org/officeDocument/2006/custom-properties" xmlns:vt="http://schemas.openxmlformats.org/officeDocument/2006/docPropsVTypes"/>
</file>