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China,</w:t>
      </w:r>
      <w:r>
        <w:t xml:space="preserve"> </w:t>
      </w:r>
      <w:r>
        <w:t xml:space="preserve">Guangzhou</w:t>
      </w:r>
    </w:p>
    <w:bookmarkStart w:id="32" w:name="X190fd833a86aac45ad3965b6034f1b87de1c2d2"/>
    <w:p>
      <w:pPr>
        <w:pStyle w:val="Heading1"/>
      </w:pPr>
      <w:r>
        <w:t xml:space="preserve">Book Report: The Strategic Evolution of the Accountant in China, Guangzhou</w:t>
      </w:r>
    </w:p>
    <w:p>
      <w:pPr>
        <w:pStyle w:val="FirstParagraph"/>
      </w:pPr>
      <w:r>
        <w:rPr>
          <w:bCs/>
          <w:b/>
        </w:rPr>
        <w:t xml:space="preserve">Date:</w:t>
      </w:r>
      <w:r>
        <w:t xml:space="preserve"> </w:t>
      </w:r>
      <w:r>
        <w:t xml:space="preserve">October 26, 2023</w:t>
      </w:r>
    </w:p>
    <w:p>
      <w:pPr>
        <w:pStyle w:val="BodyText"/>
      </w:pPr>
      <w:r>
        <w:rPr>
          <w:bCs/>
          <w:b/>
        </w:rPr>
        <w:t xml:space="preserve">To:</w:t>
      </w:r>
    </w:p>
    <w:p>
      <w:pPr>
        <w:pStyle w:val="BodyText"/>
      </w:pPr>
      <w:r>
        <w:t xml:space="preserve">The Academic Review Board and Professional Accounting Associations</w:t>
      </w:r>
    </w:p>
    <w:p>
      <w:pPr>
        <w:pStyle w:val="BodyText"/>
      </w:pPr>
      <w:r>
        <w:t xml:space="preserve">Subject:A comprehensive analysis of the modern Accountant’s role within the economic landscape of China, with a specific case study focus on Guangzhou.</w:t>
      </w:r>
    </w:p>
    <w:bookmarkStart w:id="20" w:name="executive-summary"/>
    <w:p>
      <w:pPr>
        <w:pStyle w:val="Heading2"/>
      </w:pPr>
      <w:r>
        <w:t xml:space="preserve">1. Executive Summary</w:t>
      </w:r>
    </w:p>
    <w:p>
      <w:pPr>
        <w:pStyle w:val="FirstParagraph"/>
      </w:pPr>
      <w:r>
        <w:t xml:space="preserve">This</w:t>
      </w:r>
      <w:r>
        <w:t xml:space="preserve"> </w:t>
      </w:r>
      <w:r>
        <w:rPr>
          <w:bCs/>
          <w:b/>
        </w:rPr>
        <w:t xml:space="preserve">Book Report</w:t>
      </w:r>
      <w:r>
        <w:t xml:space="preserve">, titled "The Financial Compass: Navigating Commerce in the Pearl River Delta," serves as an analytical synthesis of contemporary literature regarding financial management and accounting practices. The primary objective is to evaluate how the traditional role of the</w:t>
      </w:r>
    </w:p>
    <w:p>
      <w:pPr>
        <w:pStyle w:val="BodyText"/>
      </w:pPr>
      <w:r>
        <w:t xml:space="preserve">Accountant has transformed from a mere record-keeper into a strategic business partner, specifically within one of China's most dynamic economic hubs:</w:t>
      </w:r>
    </w:p>
    <w:p>
      <w:pPr>
        <w:pStyle w:val="BodyText"/>
      </w:pPr>
      <w:r>
        <w:t xml:space="preserve">China, Guangzhou. As global markets become increasingly interconnected, understanding the nuances of financial stewardship in this specific region is paramount for international business success.</w:t>
      </w:r>
    </w:p>
    <w:bookmarkEnd w:id="20"/>
    <w:bookmarkStart w:id="21" w:name="introduction-to-the-context"/>
    <w:p>
      <w:pPr>
        <w:pStyle w:val="Heading2"/>
      </w:pPr>
      <w:r>
        <w:t xml:space="preserve">2. Introduction to the Context</w:t>
      </w:r>
    </w:p>
    <w:p>
      <w:pPr>
        <w:pStyle w:val="FirstParagraph"/>
      </w:pPr>
      <w:r>
        <w:t xml:space="preserve">The landscape of professional accounting is undergoing a seismic shift globally. However, no region exemplifies this transformation more vividly than</w:t>
      </w:r>
    </w:p>
    <w:p>
      <w:pPr>
        <w:pStyle w:val="BodyText"/>
      </w:pPr>
      <w:r>
        <w:t xml:space="preserve">China, Guangzhou. As the capital of Guangdong province and a historical gateway for foreign trade, Guangzhou represents a unique intersection of traditional Chinese business ethics and aggressive modern capitalism. This report explores the literature surrounding these changes, highlighting how the</w:t>
      </w:r>
    </w:p>
    <w:p>
      <w:pPr>
        <w:pStyle w:val="BodyText"/>
      </w:pPr>
      <w:r>
        <w:t xml:space="preserve">Accountant in this region must possess a dual competency: rigorous technical knowledge of International Financial Reporting Standards (IFRS) and deep cultural intelligence regarding local regulatory environments.</w:t>
      </w:r>
    </w:p>
    <w:bookmarkEnd w:id="21"/>
    <w:bookmarkStart w:id="24" w:name="the-changing-profile-of-the-accountant"/>
    <w:p>
      <w:pPr>
        <w:pStyle w:val="Heading2"/>
      </w:pPr>
      <w:r>
        <w:t xml:space="preserve">3. The Changing Profile of the Accountant</w:t>
      </w:r>
    </w:p>
    <w:p>
      <w:pPr>
        <w:pStyle w:val="FirstParagraph"/>
      </w:pPr>
      <w:r>
        <w:t xml:space="preserve">A central theme across the reviewed texts is the evolution of the</w:t>
      </w:r>
    </w:p>
    <w:p>
      <w:pPr>
        <w:pStyle w:val="BodyText"/>
      </w:pPr>
      <w:r>
        <w:t xml:space="preserve">Accountant. Historically, this role was viewed as retrospective—looking backward at what had happened. In modern</w:t>
      </w:r>
    </w:p>
    <w:p>
      <w:pPr>
        <w:pStyle w:val="BodyText"/>
      </w:pPr>
      <w:r>
        <w:t xml:space="preserve">China, Guangzhou, however, literature suggests that accountants must be prospective and predictive. The fast-paced nature of the Pearl River Delta economy requires financial professionals who can provide real-time insights to drive decision-making.</w:t>
      </w:r>
    </w:p>
    <w:bookmarkStart w:id="22" w:name="X54ddfcafefc1e965637597fed29b540087919c3"/>
    <w:p>
      <w:pPr>
        <w:pStyle w:val="Heading3"/>
      </w:pPr>
      <w:r>
        <w:t xml:space="preserve">3.1 From Number Cruncher to Strategic Partner</w:t>
      </w:r>
    </w:p>
    <w:p>
      <w:pPr>
        <w:pStyle w:val="FirstParagraph"/>
      </w:pPr>
      <w:r>
        <w:t xml:space="preserve">The reviewed books emphasize that modern</w:t>
      </w:r>
    </w:p>
    <w:p>
      <w:pPr>
        <w:pStyle w:val="BodyText"/>
      </w:pPr>
      <w:r>
        <w:t xml:space="preserve">Accountants in Guangzhou are no longer isolated in back offices. They are integral members of executive teams, involved in mergers and acquisitions, supply chain optimization, and risk management. The text argues that the value of an</w:t>
      </w:r>
    </w:p>
    <w:p>
      <w:pPr>
        <w:pStyle w:val="BodyText"/>
      </w:pPr>
      <w:r>
        <w:t xml:space="preserve">Accountant is now measured by their ability to translate financial data into strategic narratives that stakeholders can understand.</w:t>
      </w:r>
    </w:p>
    <w:bookmarkEnd w:id="22"/>
    <w:bookmarkStart w:id="23" w:name="technological-integration"/>
    <w:p>
      <w:pPr>
        <w:pStyle w:val="Heading3"/>
      </w:pPr>
      <w:r>
        <w:t xml:space="preserve">3.2 Technological Integration</w:t>
      </w:r>
    </w:p>
    <w:p>
      <w:pPr>
        <w:pStyle w:val="FirstParagraph"/>
      </w:pPr>
      <w:r>
        <w:t xml:space="preserve">A significant portion of the report focuses on digital transformation. Guangzhou is a hub for fintech and artificial intelligence in China. Consequently, literature highlights how</w:t>
      </w:r>
    </w:p>
    <w:p>
      <w:pPr>
        <w:pStyle w:val="BodyText"/>
      </w:pPr>
      <w:r>
        <w:t xml:space="preserve">Accountants are leveraging cloud computing, big data analytics, and blockchain technology to enhance transparency and efficiency. The role now demands technical literacy alongside financial acumen.</w:t>
      </w:r>
    </w:p>
    <w:bookmarkEnd w:id="23"/>
    <w:bookmarkEnd w:id="24"/>
    <w:bookmarkStart w:id="28" w:name="Xd08fbea17f78ecd8191bb90ee18b55c7a6a45ec"/>
    <w:p>
      <w:pPr>
        <w:pStyle w:val="Heading2"/>
      </w:pPr>
      <w:r>
        <w:t xml:space="preserve">4. The Unique Economic Ecosystem of China, Guangzhou</w:t>
      </w:r>
    </w:p>
    <w:p>
      <w:pPr>
        <w:pStyle w:val="FirstParagraph"/>
      </w:pPr>
      <w:r>
        <w:t xml:space="preserve">To fully understand the duties of the</w:t>
      </w:r>
    </w:p>
    <w:p>
      <w:pPr>
        <w:pStyle w:val="BodyText"/>
      </w:pPr>
      <w:r>
        <w:t xml:space="preserve">Accountant, one must contextualize their work within the specific environment of</w:t>
      </w:r>
    </w:p>
    <w:p>
      <w:pPr>
        <w:pStyle w:val="BodyText"/>
      </w:pPr>
      <w:r>
        <w:t xml:space="preserve">China, Guangzhou. This city is not just another economic zone; it is a testament to rapid industrialization and global trade integration.</w:t>
      </w:r>
    </w:p>
    <w:bookmarkStart w:id="25" w:name="the-canton-fair-effect"/>
    <w:p>
      <w:pPr>
        <w:pStyle w:val="Heading3"/>
      </w:pPr>
      <w:r>
        <w:t xml:space="preserve">4.1 The Canton Fair Effect</w:t>
      </w:r>
    </w:p>
    <w:p>
      <w:pPr>
        <w:pStyle w:val="FirstParagraph"/>
      </w:pPr>
      <w:r>
        <w:t xml:space="preserve">The China Import and Export Fair (Canton Fair), held biannually in</w:t>
      </w:r>
    </w:p>
    <w:p>
      <w:pPr>
        <w:pStyle w:val="BodyText"/>
      </w:pPr>
      <w:r>
        <w:t xml:space="preserve">China, Guangzhou, attracts hundreds of thousands of visitors. Literature reviewed indicates that the influx of international business creates a unique demand for</w:t>
      </w:r>
    </w:p>
    <w:p>
      <w:pPr>
        <w:pStyle w:val="BodyText"/>
      </w:pPr>
      <w:r>
        <w:t xml:space="preserve">Accountants who specialize in cross-border taxation, currency exchange risk management, and compliance with both Chinese tax laws and international trade regulations.</w:t>
      </w:r>
    </w:p>
    <w:bookmarkEnd w:id="25"/>
    <w:bookmarkStart w:id="26" w:name="regulatory-compliance-and-governance"/>
    <w:p>
      <w:pPr>
        <w:pStyle w:val="Heading3"/>
      </w:pPr>
      <w:r>
        <w:t xml:space="preserve">4.2 Regulatory Compliance and Governance</w:t>
      </w:r>
    </w:p>
    <w:p>
      <w:pPr>
        <w:pStyle w:val="FirstParagraph"/>
      </w:pPr>
      <w:r>
        <w:t xml:space="preserve">The books discuss the tightening of regulatory frameworks in China over the last decade. For an</w:t>
      </w:r>
    </w:p>
    <w:p>
      <w:pPr>
        <w:pStyle w:val="BodyText"/>
      </w:pPr>
      <w:r>
        <w:t xml:space="preserve">Accountant</w:t>
      </w:r>
    </w:p>
    <w:p>
      <w:pPr>
        <w:pStyle w:val="BodyText"/>
      </w:pPr>
      <w:r>
        <w:t xml:space="preserve">s practice in Guangzhou must be meticulously compliant with local tax codes, which frequently undergo updates to align with national goals such as "Common Prosperity" and high-quality development. The risk of non-compliance is high, making the</w:t>
      </w:r>
    </w:p>
    <w:p>
      <w:pPr>
        <w:pStyle w:val="BodyText"/>
      </w:pPr>
      <w:r>
        <w:t xml:space="preserve">Accountant</w:t>
      </w:r>
    </w:p>
    <w:p>
      <w:pPr>
        <w:pStyle w:val="BodyText"/>
      </w:pPr>
      <w:r>
        <w:t xml:space="preserve">a critical gatekeeper for corporate governance.</w:t>
      </w:r>
    </w:p>
    <w:bookmarkEnd w:id="26"/>
    <w:bookmarkStart w:id="27" w:name="cultural-nuances-in-financial-reporting"/>
    <w:p>
      <w:pPr>
        <w:pStyle w:val="Heading3"/>
      </w:pPr>
      <w:r>
        <w:t xml:space="preserve">4.3 Cultural Nuances in Financial Reporting</w:t>
      </w:r>
    </w:p>
    <w:p>
      <w:pPr>
        <w:pStyle w:val="FirstParagraph"/>
      </w:pPr>
      <w:r>
        <w:t xml:space="preserve">An often-overlooked aspect highlighted in the texts is the cultural dimension of accounting. In</w:t>
      </w:r>
    </w:p>
    <w:p>
      <w:pPr>
        <w:pStyle w:val="BodyText"/>
      </w:pPr>
      <w:r>
        <w:t xml:space="preserve">China, Guangzhou, business relationships (Guanxi) play a significant role. While modern</w:t>
      </w:r>
    </w:p>
    <w:p>
      <w:pPr>
        <w:pStyle w:val="BodyText"/>
      </w:pPr>
      <w:r>
        <w:t xml:space="preserve">Accountants must adhere to strict ethical standards and transparency, they must also navigate the subtle social expectations of local stakeholders. The literature suggests that successful accountants in this region possess high emotional intelligence, allowing them to balance rigid financial rules with flexible interpersonal dynamics.</w:t>
      </w:r>
    </w:p>
    <w:bookmarkEnd w:id="27"/>
    <w:bookmarkEnd w:id="28"/>
    <w:bookmarkStart w:id="29" w:name="challenges-facing-the-modern-accountant"/>
    <w:p>
      <w:pPr>
        <w:pStyle w:val="Heading2"/>
      </w:pPr>
      <w:r>
        <w:t xml:space="preserve">5. Challenges Facing the Modern Accountant</w:t>
      </w:r>
    </w:p>
    <w:p>
      <w:pPr>
        <w:pStyle w:val="FirstParagraph"/>
      </w:pPr>
      <w:r>
        <w:t xml:space="preserve">The report identifies several pressing challenges for</w:t>
      </w:r>
    </w:p>
    <w:p>
      <w:pPr>
        <w:pStyle w:val="BodyText"/>
      </w:pPr>
      <w:r>
        <w:t xml:space="preserve">Accountants operating in this specific locale:</w:t>
      </w:r>
    </w:p>
    <w:p>
      <w:pPr>
        <w:pStyle w:val="BodyText"/>
      </w:pPr>
      <w:r>
        <w:rPr>
          <w:bCs/>
          <w:b/>
        </w:rPr>
        <w:t xml:space="preserve">Talent Gap:</w:t>
      </w:r>
      <w:r>
        <w:t xml:space="preserve"> </w:t>
      </w:r>
      <w:r>
        <w:t xml:space="preserve">While there is an abundance of junior accountants, there is a shortage of senior professionals who combine international accounting standards with local market expertise in</w:t>
      </w:r>
    </w:p>
    <w:p>
      <w:pPr>
        <w:pStyle w:val="BodyText"/>
      </w:pPr>
      <w:r>
        <w:t xml:space="preserve">China, Guangzhou.</w:t>
      </w:r>
    </w:p>
    <w:p>
      <w:pPr>
        <w:pStyle w:val="BodyText"/>
      </w:pPr>
      <w:r>
        <w:rPr>
          <w:bCs/>
          <w:b/>
        </w:rPr>
        <w:t xml:space="preserve">Data Security:</w:t>
      </w:r>
      <w:r>
        <w:t xml:space="preserve"> </w:t>
      </w:r>
      <w:r>
        <w:t xml:space="preserve">With the implementation of China’s Data Security Law,</w:t>
      </w:r>
    </w:p>
    <w:p>
      <w:pPr>
        <w:pStyle w:val="BodyText"/>
      </w:pPr>
      <w:r>
        <w:t xml:space="preserve">Accountants must ensure that financial data handling complies with stringent national security protocols.</w:t>
      </w:r>
    </w:p>
    <w:p>
      <w:pPr>
        <w:pStyle w:val="BodyText"/>
      </w:pPr>
      <w:r>
        <w:br/>
      </w:r>
      <w:r>
        <w:rPr>
          <w:bCs/>
          <w:b/>
        </w:rPr>
        <w:t xml:space="preserve">Sustainability Reporting:</w:t>
      </w:r>
    </w:p>
    <w:p>
      <w:pPr>
        <w:pStyle w:val="BodyText"/>
      </w:pPr>
      <w:r>
        <w:t xml:space="preserve">A growing emphasis on Environmental, Social, and Governance (ESG) criteria means that</w:t>
      </w:r>
    </w:p>
    <w:p>
      <w:pPr>
        <w:pStyle w:val="BodyText"/>
      </w:pPr>
      <w:r>
        <w:t xml:space="preserve">Accountants in Guangzhou are now tasked with reporting on carbon footprints and social impact, areas previously outside their core scope.</w:t>
      </w:r>
    </w:p>
    <w:bookmarkEnd w:id="29"/>
    <w:bookmarkStart w:id="30" w:name="conclusion-and-recommendations"/>
    <w:p>
      <w:pPr>
        <w:pStyle w:val="Heading2"/>
      </w:pPr>
      <w:r>
        <w:t xml:space="preserve">6. Conclusion and Recommendations</w:t>
      </w:r>
    </w:p>
    <w:p>
      <w:pPr>
        <w:pStyle w:val="FirstParagraph"/>
      </w:pPr>
      <w:r>
        <w:t xml:space="preserve">In conclusion, this</w:t>
      </w:r>
      <w:r>
        <w:t xml:space="preserve"> </w:t>
      </w:r>
      <w:r>
        <w:rPr>
          <w:bCs/>
          <w:b/>
        </w:rPr>
        <w:t xml:space="preserve">Book Report</w:t>
      </w:r>
    </w:p>
    <w:p>
      <w:pPr>
        <w:pStyle w:val="BodyText"/>
      </w:pPr>
    </w:p>
    <w:p>
      <w:pPr>
        <w:pStyle w:val="BodyText"/>
      </w:pPr>
      <w:r>
        <w:t xml:space="preserve">The role of the</w:t>
      </w:r>
    </w:p>
    <w:p>
      <w:pPr>
        <w:pStyle w:val="BodyText"/>
      </w:pPr>
      <w:r>
        <w:t xml:space="preserve">Accountant&lt; Strong&gt;In China Guangzhou is more critical than ever before.&lt; /P&gt;The city’s position as a global trade hub requires financial professionals who are not only technically proficient but also culturally adept and technologically savvy. The literature consistently points to a future where the</w:t>
      </w:r>
      <w:r>
        <w:t xml:space="preserve"> </w:t>
      </w:r>
      <w:r>
        <w:rPr>
          <w:bCs/>
          <w:b/>
        </w:rPr>
        <w:t xml:space="preserve">Accountant</w:t>
      </w:r>
    </w:p>
    <w:bookmarkEnd w:id="30"/>
    <w:bookmarkStart w:id="31" w:name="references-and-further-reading"/>
    <w:p>
      <w:pPr>
        <w:pStyle w:val="Heading2"/>
      </w:pPr>
      <w:r>
        <w:t xml:space="preserve">7. References and Further Reading</w:t>
      </w:r>
    </w:p>
    <w:p>
      <w:pPr>
        <w:pStyle w:val="FirstParagraph"/>
      </w:pPr>
      <w:r>
        <w:t xml:space="preserve">- "Financial Management in Emerging Markets," Journal of Asian Economics.</w:t>
      </w:r>
      <w:r>
        <w:br/>
      </w:r>
      <w:r>
        <w:t xml:space="preserve">- "The Impact of Digitalization on Accounting Practices in Southern China," Guangzhou University Press.</w:t>
      </w:r>
      <w:r>
        <w:br/>
      </w:r>
      <w:r>
        <w:t xml:space="preserve">- "Compliance and Risk in the Pearl River Delta," International Tax Review.</w:t>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Accountant in China, Guangzhou</dc:title>
  <dc:creator/>
  <cp:keywords/>
  <dcterms:created xsi:type="dcterms:W3CDTF">2026-07-29T19:38:52Z</dcterms:created>
  <dcterms:modified xsi:type="dcterms:W3CDTF">2026-07-29T19:38:52Z</dcterms:modified>
</cp:coreProperties>
</file>

<file path=docProps/custom.xml><?xml version="1.0" encoding="utf-8"?>
<Properties xmlns="http://schemas.openxmlformats.org/officeDocument/2006/custom-properties" xmlns:vt="http://schemas.openxmlformats.org/officeDocument/2006/docPropsVTypes"/>
</file>