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bookmarkStart w:id="20" w:name="X6db9c2fe4c4a9204c97e8b4436c6e4d6c8bacea"/>
    <w:p>
      <w:pPr>
        <w:pStyle w:val="Heading1"/>
      </w:pPr>
      <w:r>
        <w:t xml:space="preserve">Saudi Arabia Riyadh Book Report: The Modern Accountant</w:t>
      </w:r>
    </w:p>
    <w:p>
      <w:pPr>
        <w:pStyle w:val="FirstParagraph"/>
      </w:pPr>
      <w:r>
        <w:rPr>
          <w:bCs/>
          <w:b/>
        </w:rPr>
        <w:t xml:space="preserve">Date:</w:t>
      </w:r>
      <w:r>
        <w:t xml:space="preserve"> </w:t>
      </w:r>
      <w:r>
        <w:t xml:space="preserve">October 26, 2023</w:t>
      </w:r>
    </w:p>
    <w:p>
      <w:pPr>
        <w:pStyle w:val="BodyText"/>
      </w:pPr>
      <w:r>
        <w:rPr>
          <w:bCs/>
          <w:b/>
        </w:rPr>
        <w:t xml:space="preserve">Purpose:</w:t>
      </w:r>
    </w:p>
    <w:p>
      <w:pPr>
        <w:pStyle w:val="BodyText"/>
      </w:pPr>
      <w:r>
        <w:t xml:space="preserve">This report serves as a comprehensive evaluation of the role, evolution, and future trajectory of the accountant within the rapidly transforming economic landscape of Saudi Arabia Riyadh. It synthesizes key concepts from recent financial literature with local regulatory and cultural insights.</w:t>
      </w:r>
    </w:p>
    <w:bookmarkEnd w:id="20"/>
    <w:bookmarkStart w:id="21" w:name="introduction"/>
    <w:p>
      <w:pPr>
        <w:pStyle w:val="Heading2"/>
      </w:pPr>
      <w:r>
        <w:t xml:space="preserve">Introduction</w:t>
      </w:r>
    </w:p>
    <w:p>
      <w:pPr>
        <w:pStyle w:val="FirstParagraph"/>
      </w:pPr>
      <w:r>
        <w:t xml:space="preserve">The financial sector in Saudi Arabia has undergone a seismic shift over the last decade. Centered in its capital,</w:t>
      </w:r>
      <w:r>
        <w:t xml:space="preserve"> </w:t>
      </w:r>
      <w:r>
        <w:rPr>
          <w:bCs/>
          <w:b/>
        </w:rPr>
        <w:t xml:space="preserve">Saudi Arabia Riyadh</w:t>
      </w:r>
      <w:r>
        <w:t xml:space="preserve">, this transformation is not merely a matter of infrastructure or investment; it is deeply rooted in the professional evolution of those who manage and report these finances. This</w:t>
      </w:r>
      <w:r>
        <w:t xml:space="preserve"> </w:t>
      </w:r>
      <w:r>
        <w:rPr>
          <w:bCs/>
          <w:b/>
        </w:rPr>
        <w:t xml:space="preserve">book report</w:t>
      </w:r>
      <w:r>
        <w:t xml:space="preserve"> </w:t>
      </w:r>
      <w:r>
        <w:t xml:space="preserve">analyzes contemporary literature surrounding corporate finance, regulatory compliance, and ethical leadership to define the modern profile of an accountant.</w:t>
      </w:r>
    </w:p>
    <w:p>
      <w:pPr>
        <w:pStyle w:val="BodyText"/>
      </w:pPr>
      <w:r>
        <w:t xml:space="preserve">In the context of</w:t>
      </w:r>
      <w:r>
        <w:t xml:space="preserve"> </w:t>
      </w:r>
      <w:r>
        <w:rPr>
          <w:bCs/>
          <w:b/>
        </w:rPr>
        <w:t xml:space="preserve">Saudi Arabia Riyadh</w:t>
      </w:r>
      <w:r>
        <w:t xml:space="preserve">, where Vision 2030 aims to diversify the economy away from oil dependency, the role of finance professionals has transcended traditional bookkeeping. The following sections explore how global accounting principles intersect with local Shariah-compliant practices and digital transformation initiatives.</w:t>
      </w:r>
    </w:p>
    <w:bookmarkEnd w:id="21"/>
    <w:bookmarkStart w:id="24" w:name="Xdc73996d67d578de6bfe2adca23dc00ea29bcd4"/>
    <w:p>
      <w:pPr>
        <w:pStyle w:val="Heading2"/>
      </w:pPr>
      <w:r>
        <w:t xml:space="preserve">The Evolution of Accounting Standards in a Regional Hub</w:t>
      </w:r>
    </w:p>
    <w:p>
      <w:pPr>
        <w:pStyle w:val="FirstParagraph"/>
      </w:pPr>
      <w:r>
        <w:t xml:space="preserve">A primary theme in recent financial literature is the harmonization of International Financial Reporting Standards (IFRS) with local regulatory frameworks. For any</w:t>
      </w:r>
      <w:r>
        <w:t xml:space="preserve"> </w:t>
      </w:r>
      <w:r>
        <w:rPr>
          <w:bCs/>
          <w:b/>
        </w:rPr>
        <w:t xml:space="preserve">Accountant</w:t>
      </w:r>
      <w:r>
        <w:t xml:space="preserve"> </w:t>
      </w:r>
      <w:r>
        <w:t xml:space="preserve">operating in</w:t>
      </w:r>
      <w:r>
        <w:t xml:space="preserve"> </w:t>
      </w:r>
      <w:r>
        <w:rPr>
          <w:bCs/>
          <w:b/>
        </w:rPr>
        <w:t xml:space="preserve">Saudi Arabia Riyadh</w:t>
      </w:r>
      <w:r>
        <w:t xml:space="preserve">, understanding this duality is paramount.</w:t>
      </w:r>
    </w:p>
    <w:bookmarkStart w:id="22" w:name="digital-transformation-and-automation"/>
    <w:p>
      <w:pPr>
        <w:pStyle w:val="Heading3"/>
      </w:pPr>
      <w:r>
        <w:t xml:space="preserve">Digital Transformation and Automation</w:t>
      </w:r>
    </w:p>
    <w:p>
      <w:pPr>
        <w:pStyle w:val="FirstParagraph"/>
      </w:pPr>
      <w:r>
        <w:t xml:space="preserve">The modern</w:t>
      </w:r>
      <w:r>
        <w:t xml:space="preserve"> </w:t>
      </w:r>
      <w:r>
        <w:rPr>
          <w:bCs/>
          <w:b/>
        </w:rPr>
        <w:t xml:space="preserve">Accountant</w:t>
      </w:r>
      <w:r>
        <w:t xml:space="preserve"> </w:t>
      </w:r>
      <w:r>
        <w:t xml:space="preserve">is no longer just a recorder of historical data but a strategic advisor. Recent texts highlight the integration of Artificial Intelligence (AI) and Cloud Computing in financial operations. In the bustling business districts of</w:t>
      </w:r>
      <w:r>
        <w:t xml:space="preserve"> </w:t>
      </w:r>
      <w:r>
        <w:rPr>
          <w:bCs/>
          <w:b/>
        </w:rPr>
        <w:t xml:space="preserve">Saudi Arabia Riyadh</w:t>
      </w:r>
      <w:r>
        <w:t xml:space="preserve">, firms are rapidly adopting Enterprise Resource Planning (ERP) systems. This report emphasizes that technical proficiency in these tools is now as essential as knowledge of debit and credit.</w:t>
      </w:r>
    </w:p>
    <w:bookmarkEnd w:id="22"/>
    <w:bookmarkStart w:id="23" w:name="X57e553919073c55822751d4b504856c5f48c573"/>
    <w:p>
      <w:pPr>
        <w:pStyle w:val="Heading3"/>
      </w:pPr>
      <w:r>
        <w:t xml:space="preserve">Data Analytics for Strategic Decision-Making</w:t>
      </w:r>
    </w:p>
    <w:p>
      <w:pPr>
        <w:pStyle w:val="FirstParagraph"/>
      </w:pPr>
      <w:r>
        <w:t xml:space="preserve">The literature suggests a shift from retrospective reporting to predictive analytics. Accountants in</w:t>
      </w:r>
      <w:r>
        <w:t xml:space="preserve"> </w:t>
      </w:r>
      <w:r>
        <w:rPr>
          <w:bCs/>
          <w:b/>
        </w:rPr>
        <w:t xml:space="preserve">Saudi Arabia Riyadh</w:t>
      </w:r>
      <w:r>
        <w:t xml:space="preserve"> </w:t>
      </w:r>
      <w:r>
        <w:t xml:space="preserve">are expected to provide insights that drive business strategy, particularly for non-oil sectors such as tourism, entertainment, and technology which are the focus of Vision 2030.</w:t>
      </w:r>
    </w:p>
    <w:bookmarkEnd w:id="23"/>
    <w:bookmarkEnd w:id="24"/>
    <w:bookmarkStart w:id="26" w:name="Xd3becbf74dd52d74dbe0afdd64608f57fa73808"/>
    <w:p>
      <w:pPr>
        <w:pStyle w:val="Heading2"/>
      </w:pPr>
      <w:r>
        <w:t xml:space="preserve">Ethical Considerations and Shariah Compliance</w:t>
      </w:r>
    </w:p>
    <w:p>
      <w:pPr>
        <w:pStyle w:val="FirstParagraph"/>
      </w:pPr>
      <w:r>
        <w:t xml:space="preserve">A critical distinction for the</w:t>
      </w:r>
      <w:r>
        <w:t xml:space="preserve"> </w:t>
      </w:r>
      <w:r>
        <w:rPr>
          <w:bCs/>
          <w:b/>
        </w:rPr>
        <w:t xml:space="preserve">Accountant</w:t>
      </w:r>
      <w:r>
        <w:t xml:space="preserve"> </w:t>
      </w:r>
      <w:r>
        <w:t xml:space="preserve">in this region is the intersection of ethical accounting practices with Islamic finance principles. Unlike Western counterparts, an accountant working in</w:t>
      </w:r>
      <w:r>
        <w:t xml:space="preserve"> </w:t>
      </w:r>
      <w:r>
        <w:rPr>
          <w:bCs/>
          <w:b/>
        </w:rPr>
        <w:t xml:space="preserve">Saudi Arabia Riyadh</w:t>
      </w:r>
    </w:p>
    <w:bookmarkStart w:id="25" w:name="the-role-of-ethics"/>
    <w:p>
      <w:pPr>
        <w:pStyle w:val="Heading3"/>
      </w:pPr>
      <w:r>
        <w:t xml:space="preserve">The Role of Ethics</w:t>
      </w:r>
    </w:p>
    <w:p>
      <w:pPr>
        <w:pStyle w:val="FirstParagraph"/>
      </w:pPr>
      <w:r>
        <w:t xml:space="preserve">Ethical integrity remains the cornerstone of the accounting profession. This report highlights that in</w:t>
      </w:r>
      <w:r>
        <w:t xml:space="preserve"> </w:t>
      </w:r>
      <w:r>
        <w:rPr>
          <w:bCs/>
          <w:b/>
        </w:rPr>
        <w:t xml:space="preserve">Saudi Arabia Riyadh</w:t>
      </w:r>
      <w:r>
        <w:t xml:space="preserve">, trust is a currency as valuable as capital. The literature underscores that maintaining transparency and avoiding conflicts of interest is vital for sustainable business growth, particularly as international investors increasingly engage with local entities.</w:t>
      </w:r>
    </w:p>
    <w:bookmarkEnd w:id="25"/>
    <w:bookmarkEnd w:id="26"/>
    <w:bookmarkStart w:id="29" w:name="X056e5c7709d049faedab2997856b47c488024d3"/>
    <w:p>
      <w:pPr>
        <w:pStyle w:val="Heading2"/>
      </w:pPr>
      <w:r>
        <w:t xml:space="preserve">Vision 2030: A Catalyst for Professional Growth</w:t>
      </w:r>
    </w:p>
    <w:p>
      <w:pPr>
        <w:pStyle w:val="FirstParagraph"/>
      </w:pPr>
      <w:r>
        <w:t xml:space="preserve">The narrative of the</w:t>
      </w:r>
      <w:r>
        <w:t xml:space="preserve"> </w:t>
      </w:r>
      <w:r>
        <w:rPr>
          <w:bCs/>
          <w:b/>
        </w:rPr>
        <w:t xml:space="preserve">Saudi Arabia Riyadh</w:t>
      </w:r>
    </w:p>
    <w:p>
      <w:pPr>
        <w:pStyle w:val="BodyText"/>
      </w:pPr>
      <w:r>
        <w:t xml:space="preserve">s economic future is inextricably linked to Vision 2030. This national initiative requires a workforce capable of managing complex, multi-billion dirham projects ranging from NEOM to the Red Sea Project.</w:t>
      </w:r>
    </w:p>
    <w:bookmarkStart w:id="27" w:name="talent-localization-saudization"/>
    <w:p>
      <w:pPr>
        <w:pStyle w:val="Heading3"/>
      </w:pPr>
      <w:r>
        <w:t xml:space="preserve">Talent Localization (Saudization)</w:t>
      </w:r>
    </w:p>
    <w:p>
      <w:pPr>
        <w:pStyle w:val="FirstParagraph"/>
      </w:pPr>
      <w:r>
        <w:t xml:space="preserve">A significant portion of the discussed literature addresses "Saudization," or Nitaqat policies. This has created unprecedented opportunities for Saudi nationals pursuing careers as</w:t>
      </w:r>
      <w:r>
        <w:t xml:space="preserve"> </w:t>
      </w:r>
      <w:r>
        <w:rPr>
          <w:bCs/>
          <w:b/>
        </w:rPr>
        <w:t xml:space="preserve">Accountants</w:t>
      </w:r>
      <w:r>
        <w:t xml:space="preserve">. The report finds that there is a strong push to upskill local talent, encouraging them to pursue global certifications such as CPA (Certified Public Accountant) and ACCA (Association of Chartered Certified Accountants).</w:t>
      </w:r>
    </w:p>
    <w:bookmarkEnd w:id="27"/>
    <w:bookmarkStart w:id="28" w:name="the-demand-for-specialized-skills"/>
    <w:p>
      <w:pPr>
        <w:pStyle w:val="Heading3"/>
      </w:pPr>
      <w:r>
        <w:t xml:space="preserve">The Demand for Specialized Skills</w:t>
      </w:r>
    </w:p>
    <w:p>
      <w:pPr>
        <w:pStyle w:val="FirstParagraph"/>
      </w:pPr>
      <w:r>
        <w:t xml:space="preserve">Vision 2030 demands specialized skills. The modern</w:t>
      </w:r>
      <w:r>
        <w:t xml:space="preserve"> </w:t>
      </w:r>
      <w:r>
        <w:rPr>
          <w:bCs/>
          <w:b/>
        </w:rPr>
        <w:t xml:space="preserve">Accountant</w:t>
      </w:r>
    </w:p>
    <w:p>
      <w:pPr>
        <w:pStyle w:val="BodyText"/>
      </w:pPr>
      <w:r>
        <w:t xml:space="preserve">Taxation (including VAT and Corporate Tax implementations).</w:t>
      </w:r>
    </w:p>
    <w:p>
      <w:pPr>
        <w:pStyle w:val="BodyText"/>
      </w:pPr>
      <w:r>
        <w:t xml:space="preserve">Risk Management.</w:t>
      </w:r>
    </w:p>
    <w:p>
      <w:pPr>
        <w:pStyle w:val="BodyText"/>
      </w:pPr>
      <w:r>
        <w:t xml:space="preserve">Financial Modeling for large-scale infrastructure projects.</w:t>
      </w:r>
    </w:p>
    <w:bookmarkEnd w:id="28"/>
    <w:bookmarkEnd w:id="29"/>
    <w:bookmarkStart w:id="31" w:name="X6d9a10f77b0918f8d2dba6b83cc16d9260a246d"/>
    <w:p>
      <w:pPr>
        <w:pStyle w:val="Heading2"/>
      </w:pPr>
      <w:r>
        <w:t xml:space="preserve">The Changing Landscape of the Corporate Sector</w:t>
      </w:r>
    </w:p>
    <w:p>
      <w:pPr>
        <w:pStyle w:val="FirstParagraph"/>
      </w:pPr>
      <w:r>
        <w:t xml:space="preserve">The corporate culture in</w:t>
      </w:r>
      <w:r>
        <w:t xml:space="preserve"> </w:t>
      </w:r>
      <w:r>
        <w:rPr>
          <w:bCs/>
          <w:b/>
        </w:rPr>
        <w:t xml:space="preserve">Saudi Arabia Riyadh</w:t>
      </w:r>
    </w:p>
    <w:p>
      <w:pPr>
        <w:pStyle w:val="BodyText"/>
      </w:pPr>
      <w:r>
        <w:t xml:space="preserve">Accountant</w:t>
      </w:r>
    </w:p>
    <w:bookmarkStart w:id="30" w:name="communication-as-a-key-competency"/>
    <w:p>
      <w:pPr>
        <w:pStyle w:val="Heading3"/>
      </w:pPr>
      <w:r>
        <w:t xml:space="preserve">Communication as a Key Competency</w:t>
      </w:r>
    </w:p>
    <w:p>
      <w:pPr>
        <w:pStyle w:val="FirstParagraph"/>
      </w:pPr>
      <w:r>
        <w:t xml:space="preserve">Literature emphasizes that financial data is useless if it cannot be understood by non-financial managers. Therefore, the modern</w:t>
      </w:r>
      <w:r>
        <w:t xml:space="preserve"> </w:t>
      </w:r>
      <w:r>
        <w:rPr>
          <w:bCs/>
          <w:b/>
        </w:rPr>
        <w:t xml:space="preserve">Accountant</w:t>
      </w:r>
    </w:p>
    <w:p>
      <w:pPr>
        <w:pStyle w:val="BodyText"/>
      </w:pPr>
      <w:r>
        <w:t xml:space="preserve">Saudi Arabia Riyadh</w:t>
      </w:r>
    </w:p>
    <w:bookmarkEnd w:id="30"/>
    <w:bookmarkEnd w:id="31"/>
    <w:bookmarkStart w:id="33" w:name="challenges-and-future-outlook"/>
    <w:p>
      <w:pPr>
        <w:pStyle w:val="Heading2"/>
      </w:pPr>
      <w:r>
        <w:t xml:space="preserve">Challenges and Future Outlook</w:t>
      </w:r>
    </w:p>
    <w:p>
      <w:pPr>
        <w:pStyle w:val="FirstParagraph"/>
      </w:pPr>
      <w:r>
        <w:t xml:space="preserve">The report concludes by addressing the challenges facing the profession. Rapid technological change requires continuous learning. Furthermore, maintaining compliance in a dynamic regulatory environment demands diligence and adaptability.</w:t>
      </w:r>
    </w:p>
    <w:bookmarkStart w:id="32" w:name="sustainability-reporting"/>
    <w:p>
      <w:pPr>
        <w:pStyle w:val="Heading3"/>
      </w:pPr>
      <w:r>
        <w:t xml:space="preserve">Sustainability Reporting</w:t>
      </w:r>
    </w:p>
    <w:p>
      <w:pPr>
        <w:pStyle w:val="FirstParagraph"/>
      </w:pPr>
      <w:r>
        <w:t xml:space="preserve">A growing trend highlighted in recent books is Environmental, Social, and Governance (ESG) reporting. As</w:t>
      </w:r>
      <w:r>
        <w:t xml:space="preserve"> </w:t>
      </w:r>
      <w:r>
        <w:rPr>
          <w:bCs/>
          <w:b/>
        </w:rPr>
        <w:t xml:space="preserve">Saudi Arabia Riyadh</w:t>
      </w:r>
    </w:p>
    <w:bookmarkEnd w:id="32"/>
    <w:bookmarkEnd w:id="33"/>
    <w:bookmarkStart w:id="35" w:name="conclusion"/>
    <w:p>
      <w:pPr>
        <w:pStyle w:val="Heading2"/>
      </w:pPr>
      <w:r>
        <w:t xml:space="preserve">Conclusion</w:t>
      </w:r>
    </w:p>
    <w:p>
      <w:pPr>
        <w:pStyle w:val="FirstParagraph"/>
      </w:pPr>
      <w:r>
        <w:t xml:space="preserve">In summary, this book report underscores that the profession of accounting is at a crossroads. For the</w:t>
      </w:r>
      <w:r>
        <w:t xml:space="preserve"> </w:t>
      </w:r>
      <w:r>
        <w:rPr>
          <w:bCs/>
          <w:b/>
        </w:rPr>
        <w:t xml:space="preserve">Saudi Arabia Riyadh</w:t>
      </w:r>
    </w:p>
    <w:p>
      <w:pPr>
        <w:pStyle w:val="BodyText"/>
      </w:pPr>
      <w:r>
        <w:t xml:space="preserve">Accountant</w:t>
      </w:r>
    </w:p>
    <w:p>
      <w:pPr>
        <w:pStyle w:val="BodyText"/>
      </w:pPr>
      <w:r>
        <w:t xml:space="preserve">The literature reviewed strongly suggests that success in this role requires lifelong learning and cultural adaptability. As</w:t>
      </w:r>
      <w:r>
        <w:t xml:space="preserve"> </w:t>
      </w:r>
      <w:r>
        <w:rPr>
          <w:bCs/>
          <w:b/>
        </w:rPr>
        <w:t xml:space="preserve">Saudi Arabia Riyadh</w:t>
      </w:r>
    </w:p>
    <w:bookmarkStart w:id="34" w:name="recommendations"/>
    <w:p>
      <w:pPr>
        <w:pStyle w:val="Heading3"/>
      </w:pPr>
      <w:r>
        <w:t xml:space="preserve">Recommendations</w:t>
      </w:r>
    </w:p>
    <w:p>
      <w:pPr>
        <w:numPr>
          <w:ilvl w:val="0"/>
          <w:numId w:val="1001"/>
        </w:numPr>
        <w:pStyle w:val="Compact"/>
      </w:pPr>
      <w:r>
        <w:t xml:space="preserve">Pursue international certifications alongside local regulatory knowledge.</w:t>
      </w:r>
    </w:p>
    <w:p>
      <w:pPr>
        <w:numPr>
          <w:ilvl w:val="0"/>
          <w:numId w:val="1001"/>
        </w:numPr>
      </w:pPr>
      <w:r>
        <w:rPr>
          <w:iCs/>
          <w:i/>
        </w:rPr>
        <w:t xml:space="preserve">Embrace technology and data analytics skills immediately.</w:t>
      </w:r>
    </w:p>
    <w:p>
      <w:pPr>
        <w:numPr>
          <w:ilvl w:val="0"/>
          <w:numId w:val="1000"/>
        </w:numPr>
      </w:pPr>
      <w:r>
        <w:t xml:space="preserve">-Engage in continuous professional development regarding Vision 2030 initiatives.</w:t>
      </w:r>
    </w:p>
    <w:p>
      <w:pPr>
        <w:pStyle w:val="FirstParagraph"/>
      </w:pPr>
      <w:r>
        <w:rPr>
          <w:bCs/>
          <w:b/>
        </w:rPr>
        <w:t xml:space="preserve">End of Report</w:t>
      </w:r>
      <w:r>
        <w:br/>
      </w:r>
      <w:r>
        <w:t xml:space="preserve">This document has been prepared specifically for stakeholders interested in the financial sector within Saudi Arabia Riyadh.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Accountant in the Context of Saudi Arabia Riyadh</dc:title>
  <dc:creator/>
  <dc:language>en</dc:language>
  <cp:keywords/>
  <dcterms:created xsi:type="dcterms:W3CDTF">2026-07-29T10:36:54Z</dcterms:created>
  <dcterms:modified xsi:type="dcterms:W3CDTF">2026-07-29T10:36:54Z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