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Montreal</w:t>
      </w:r>
    </w:p>
    <w:bookmarkStart w:id="26" w:name="the-architect-in-canada-montreal"/>
    <w:p>
      <w:pPr>
        <w:pStyle w:val="Heading1"/>
      </w:pPr>
      <w:r>
        <w:t xml:space="preserve">The Architect in Canada Montreal</w:t>
      </w:r>
    </w:p>
    <w:p>
      <w:pPr>
        <w:pStyle w:val="FirstParagraph"/>
      </w:pPr>
      <w:r>
        <w:rPr>
          <w:bCs/>
          <w:b/>
        </w:rPr>
        <w:t xml:space="preserve">Date:</w:t>
      </w:r>
      <w:r>
        <w:t xml:space="preserve"> </w:t>
      </w:r>
      <w:r>
        <w:t xml:space="preserve">October 26, 2023</w:t>
      </w:r>
      <w:r>
        <w:br/>
      </w:r>
    </w:p>
    <w:bookmarkStart w:id="20" w:name="i.-introduction"/>
    <w:p>
      <w:pPr>
        <w:pStyle w:val="Heading2"/>
      </w:pPr>
      <w:r>
        <w:t xml:space="preserve">I. Introduction</w:t>
      </w:r>
    </w:p>
    <w:p>
      <w:pPr>
        <w:pStyle w:val="FirstParagraph"/>
      </w:pPr>
      <w:r>
        <w:t xml:space="preserve">The profession of architecture is rarely confined merely to the technicalities of structural engineering or aesthetic design; it is deeply rooted in culture, history, climate, and urban policy. When we examine the role of an</w:t>
      </w:r>
      <w:r>
        <w:t xml:space="preserve"> </w:t>
      </w:r>
      <w:r>
        <w:rPr>
          <w:bCs/>
          <w:b/>
        </w:rPr>
        <w:t xml:space="preserve">Architect</w:t>
      </w:r>
      <w:r>
        <w:t xml:space="preserve">, particularly within the specific context of</w:t>
      </w:r>
      <w:r>
        <w:t xml:space="preserve"> </w:t>
      </w:r>
      <w:r>
        <w:rPr>
          <w:bCs/>
          <w:b/>
        </w:rPr>
        <w:t xml:space="preserve">Canada Montreal</w:t>
      </w:r>
      <w:r>
        <w:t xml:space="preserve">, a complex narrative emerges that blends French colonial heritage with North American modernism. This book report analyzes the dynamic relationship between professional practice and place identity, exploring how architects in this unique city navigate dual legal systems, linguistic identities, and a rigorous preservation framework.</w:t>
      </w:r>
    </w:p>
    <w:p>
      <w:pPr>
        <w:pStyle w:val="BodyText"/>
      </w:pPr>
      <w:r>
        <w:t xml:space="preserve">This document serves as a comprehensive review of literature regarding urban development and architectural theory specific to the region. It posits that an</w:t>
      </w:r>
      <w:r>
        <w:t xml:space="preserve"> </w:t>
      </w:r>
      <w:r>
        <w:rPr>
          <w:bCs/>
          <w:b/>
        </w:rPr>
        <w:t xml:space="preserve">ArchitectCanada Montreal</w:t>
      </w:r>
    </w:p>
    <w:p>
      <w:pPr>
        <w:pStyle w:val="BodyText"/>
      </w:pPr>
      <w:r>
        <w:t xml:space="preserve">To understand the contemporary role of the</w:t>
      </w:r>
    </w:p>
    <w:p>
      <w:pPr>
        <w:pStyle w:val="BodyText"/>
      </w:pPr>
      <w:r>
        <w:t xml:space="preserve">The built environment of Montreal reflects centuries of evolution, from the stone row houses of Old Montreal to the brutalist concrete structures erected during the Quiet Revolution in Quebec during the mid-20th century. These historical layers present unique challenges and opportunities for modern architects. The literature suggests that successful projects in this region often engage in a dialogue between past and present, respecting historic preservation laws while introducing contemporary innovations. This balance is crucial because Montreal’s urban identity is heavily tied to its visual heritage, making the work of an</w:t>
      </w:r>
    </w:p>
    <w:bookmarkEnd w:id="20"/>
    <w:bookmarkStart w:id="21" w:name="X4d8dfac102443abd7b3574d8d9101a0926a4f32"/>
    <w:p>
      <w:pPr>
        <w:pStyle w:val="Heading2"/>
      </w:pPr>
      <w:r>
        <w:t xml:space="preserve">III. The Professional Landscape: Bilingualism and Regulation</w:t>
      </w:r>
    </w:p>
    <w:p>
      <w:pPr>
        <w:pStyle w:val="FirstParagraph"/>
      </w:pPr>
      <w:r>
        <w:t xml:space="preserve">A critical aspect of being an</w:t>
      </w:r>
    </w:p>
    <w:p>
      <w:pPr>
        <w:pStyle w:val="BodyText"/>
      </w:pPr>
      <w:r>
        <w:t xml:space="preserve">For an</w:t>
      </w:r>
    </w:p>
    <w:bookmarkEnd w:id="21"/>
    <w:bookmarkStart w:id="22" w:name="X821cb5bcc5906cda87b35c14041494cf3549970"/>
    <w:p>
      <w:pPr>
        <w:pStyle w:val="Heading2"/>
      </w:pPr>
      <w:r>
        <w:t xml:space="preserve">IV. Sustainability and Climate Responsiveness</w:t>
      </w:r>
    </w:p>
    <w:p>
      <w:pPr>
        <w:pStyle w:val="FirstParagraph"/>
      </w:pPr>
      <w:r>
        <w:t xml:space="preserve">Montreal experiences harsh winters with heavy snowfall and hot summers with humidity. Consequently, literature on sustainable design in this region emphasizes climate responsiveness as a primary duty of the . In the context of Canada Montrealenergy efficiency is not merely an environmental ideal but a practical necessity for comfort and cost reduction.</w:t>
      </w:r>
    </w:p>
    <w:p>
      <w:pPr>
        <w:pStyle w:val="BodyText"/>
      </w:pPr>
      <w:r>
        <w:t xml:space="preserve">The book report findings indicate that modern architectural practices in this area are increasingly focused on passive house standards, green roofs, and thermal envelope optimization. Architects must design facades that withstand freeze-thaw cycles while maximizing solar gain during the winter months. This technical challenge drives innovation in material science and structural engineering specific to the local climate. The role of the</w:t>
      </w:r>
    </w:p>
    <w:bookmarkEnd w:id="22"/>
    <w:bookmarkStart w:id="23" w:name="v.-urban-density-and-public-space"/>
    <w:p>
      <w:pPr>
        <w:pStyle w:val="Heading2"/>
      </w:pPr>
      <w:r>
        <w:t xml:space="preserve">V. Urban Density and Public Space</w:t>
      </w:r>
    </w:p>
    <w:p>
      <w:pPr>
        <w:pStyle w:val="FirstParagraph"/>
      </w:pPr>
      <w:r>
        <w:t xml:space="preserve">Montreal is renowned for its vibrant public spaces, pedestrian-friendly neighborhoods, and underground city network (RESO). The literature reviews suggest that the</w:t>
      </w:r>
    </w:p>
    <w:p>
      <w:pPr>
        <w:pStyle w:val="BodyText"/>
      </w:pPr>
      <w:r>
        <w:t xml:space="preserve">In Canada Montreal, urban density is managed through strict height restrictions in certain heritage zones to preserve views of Mount Royal. This constraint forces architects to be creative with vertical space and interior layouts. The resulting architecture often features intricate courtyards, light wells, and multi-level public plazas that foster community interaction. The</w:t>
      </w:r>
    </w:p>
    <w:bookmarkEnd w:id="23"/>
    <w:bookmarkStart w:id="24" w:name="Xb76f683cbabf71ec54f9d323a827c4a6da98f9a"/>
    <w:p>
      <w:pPr>
        <w:pStyle w:val="Heading2"/>
      </w:pPr>
      <w:r>
        <w:t xml:space="preserve">VI. Contemporary Challenges and Future Directions</w:t>
      </w:r>
    </w:p>
    <w:p>
      <w:pPr>
        <w:pStyle w:val="FirstParagraph"/>
      </w:pPr>
      <w:r>
        <w:t xml:space="preserve">The final section of this analysis addresses emerging trends in architectural practice within Canada Montreal. Issues such as housing affordability, gentrification, and indigenous reconciliation are central to current debates. Literature indicates that contemporary</w:t>
      </w:r>
    </w:p>
    <w:p>
      <w:pPr>
        <w:pStyle w:val="BodyText"/>
      </w:pPr>
      <w:r>
        <w:t xml:space="preserve">Furthermore, there is a growing emphasis on using local materials and labor forces within Quebec’s economy. This shift supports regional industries and reduces the carbon footprint associated with importing construction materials. For an</w:t>
      </w:r>
    </w:p>
    <w:bookmarkEnd w:id="24"/>
    <w:bookmarkStart w:id="25" w:name="vii.-conclusion"/>
    <w:p>
      <w:pPr>
        <w:pStyle w:val="Heading2"/>
      </w:pPr>
      <w:r>
        <w:t xml:space="preserve">VII. Conclusion</w:t>
      </w:r>
    </w:p>
    <w:p>
      <w:pPr>
        <w:pStyle w:val="FirstParagraph"/>
      </w:pPr>
      <w:r>
        <w:t xml:space="preserve">In conclusion, the role of an</w:t>
      </w:r>
    </w:p>
    <w:p>
      <w:pPr>
        <w:pStyle w:val="BodyText"/>
      </w:pPr>
      <w:r>
        <w:t xml:space="preserve">The evidence reviewed confirms that successful practice in this region depends on an architect’s ability to harmonize international design standards with local Canadian regulations and Montreal-specific cultural expectations. As the city continues to evolve, so too will the responsibilities of its architects. They must remain adaptive, innovative, and deeply committed to preserving the distinct character of Canada Montrealwhile embracing modern advancements in construction technology.</w:t>
      </w:r>
    </w:p>
    <w:p>
      <w:pPr>
        <w:pStyle w:val="BodyText"/>
      </w:pPr>
      <w:r>
        <w:t xml:space="preserve">For students and professionals alike, understanding these dynamics is essential. The literature underscores that being an</w:t>
      </w:r>
    </w:p>
    <w:p>
      <w:pPr>
        <w:pStyle w:val="BodyText"/>
      </w:pPr>
      <w:r>
        <w:t xml:space="preserve">The intersection of profession, place identity, and regulatory frameworks makes this area a fascinating case study for global architectural discourse. Ultimatelythe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Canada Montreal</dc:title>
  <dc:creator/>
  <dc:language>en</dc:language>
  <cp:keywords/>
  <dcterms:created xsi:type="dcterms:W3CDTF">2026-07-29T05:12:13Z</dcterms:created>
  <dcterms:modified xsi:type="dcterms:W3CDTF">2026-07-29T05:12:13Z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