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Melbourne</w:t>
      </w:r>
    </w:p>
    <w:bookmarkStart w:id="30" w:name="book-report"/>
    <w:p>
      <w:pPr>
        <w:pStyle w:val="Heading1"/>
      </w:pPr>
      <w:r>
        <w:t xml:space="preserve">Book Report</w:t>
      </w:r>
    </w:p>
    <w:bookmarkStart w:id="22" w:name="title-of-analysis"/>
    <w:p>
      <w:pPr>
        <w:pStyle w:val="Heading2"/>
      </w:pPr>
      <w:r>
        <w:t xml:space="preserve">Title of Analysis:</w:t>
      </w:r>
    </w:p>
    <w:p>
      <w:pPr>
        <w:pStyle w:val="FirstParagraph"/>
      </w:pPr>
      <w:r>
        <w:rPr>
          <w:bCs/>
          <w:b/>
        </w:rPr>
        <w:t xml:space="preserve">The Integrity Imperative: Navigating the Auditor Profession in the Australian Context, with a Specific Focus on Australia Melbourne</w:t>
      </w:r>
    </w:p>
    <w:bookmarkStart w:id="20" w:name="date-prepared"/>
    <w:p>
      <w:pPr>
        <w:pStyle w:val="Heading3"/>
      </w:pPr>
      <w:r>
        <w:t xml:space="preserve">Date Prepared:</w:t>
      </w:r>
    </w:p>
    <w:p>
      <w:pPr>
        <w:pStyle w:val="FirstParagraph"/>
      </w:pPr>
      <w:r>
        <w:t xml:space="preserve">[Current Date]</w:t>
      </w:r>
    </w:p>
    <w:bookmarkEnd w:id="20"/>
    <w:bookmarkStart w:id="21" w:name="prepared-for"/>
    <w:p>
      <w:pPr>
        <w:pStyle w:val="Heading3"/>
      </w:pPr>
      <w:r>
        <w:t xml:space="preserve">Prepared For:</w:t>
      </w:r>
    </w:p>
    <w:p>
      <w:pPr>
        <w:pStyle w:val="FirstParagraph"/>
      </w:pPr>
      <w:r>
        <w:t xml:space="preserve">Institute of Internal Auditors – Victoria Chapter / Academic Review Committee</w:t>
      </w:r>
    </w:p>
    <w:bookmarkEnd w:id="21"/>
    <w:bookmarkEnd w:id="22"/>
    <w:bookmarkStart w:id="23" w:name="i.-introduction-and-executive-summary"/>
    <w:p>
      <w:pPr>
        <w:pStyle w:val="Heading2"/>
      </w:pPr>
      <w:r>
        <w:t xml:space="preserve">I. Introduction and Executive Summary</w:t>
      </w:r>
    </w:p>
    <w:p>
      <w:pPr>
        <w:pStyle w:val="FirstParagraph"/>
      </w:pPr>
      <w:r>
        <w:t xml:space="preserve">The purpose of this</w:t>
      </w:r>
      <w:r>
        <w:t xml:space="preserve"> </w:t>
      </w:r>
      <w:r>
        <w:rPr>
          <w:bCs/>
          <w:b/>
        </w:rPr>
        <w:t xml:space="preserve">Auditor</w:t>
      </w:r>
      <w:r>
        <w:t xml:space="preserve"> </w:t>
      </w:r>
      <w:r>
        <w:t xml:space="preserve">focused report is to critically examine the evolving landscape of professional auditing within the unique economic, regulatory, and cultural environment of</w:t>
      </w:r>
      <w:r>
        <w:t xml:space="preserve"> </w:t>
      </w:r>
      <w:r>
        <w:rPr>
          <w:bCs/>
          <w:b/>
        </w:rPr>
        <w:t xml:space="preserve">Australia Melbourne</w:t>
      </w:r>
      <w:r>
        <w:t xml:space="preserve">. This document serves as a comprehensive review that synthesizes current literature, regulatory frameworks (such as ASIC guidelines), and practical case studies to understand the modern responsibilities of an auditor. In recent years, high-profile corporate collapses and accounting scandals globally have heightened public scrutiny on the auditing profession. In</w:t>
      </w:r>
      <w:r>
        <w:t xml:space="preserve"> </w:t>
      </w:r>
      <w:r>
        <w:rPr>
          <w:bCs/>
          <w:b/>
        </w:rPr>
        <w:t xml:space="preserve">Australia Melbourne</w:t>
      </w:r>
      <w:r>
        <w:t xml:space="preserve">, a city recognized not only as a financial capital but also as one of the world's most liveable cities with a robust corporate sector, the role of the auditor has transcended mere compliance checking to become a cornerstone of market confidence and economic stability. This report argues that auditors in this region must possess not only technical competence in Australian Auditing Standards (AUASBs) but also a deep understanding of local corporate governance nuances.</w:t>
      </w:r>
    </w:p>
    <w:bookmarkEnd w:id="23"/>
    <w:bookmarkStart w:id="24" w:name="X747b81954b3bcffe85ba8d7970c6eb8c05415d9"/>
    <w:p>
      <w:pPr>
        <w:pStyle w:val="Heading2"/>
      </w:pPr>
      <w:r>
        <w:t xml:space="preserve">II. The Regulatory Framework: ASIC and the Corporations Act</w:t>
      </w:r>
    </w:p>
    <w:p>
      <w:pPr>
        <w:pStyle w:val="FirstParagraph"/>
      </w:pPr>
      <w:r>
        <w:t xml:space="preserve">To understand the practice of auditing in</w:t>
      </w:r>
      <w:r>
        <w:t xml:space="preserve"> </w:t>
      </w:r>
      <w:r>
        <w:rPr>
          <w:bCs/>
          <w:b/>
        </w:rPr>
        <w:t xml:space="preserve">Australia Melbourne</w:t>
      </w:r>
      <w:r>
        <w:t xml:space="preserve">, one must first engage with the legal framework that governs it. The primary legislation is the Corporations Act 2001, enforced by the Australian Securities and Investments Commission (ASIC). For an</w:t>
      </w:r>
      <w:r>
        <w:t xml:space="preserve"> </w:t>
      </w:r>
      <w:r>
        <w:rPr>
          <w:bCs/>
          <w:b/>
        </w:rPr>
        <w:t xml:space="preserve">Auditor</w:t>
      </w:r>
      <w:r>
        <w:t xml:space="preserve"> </w:t>
      </w:r>
      <w:r>
        <w:t xml:space="preserve">operating in this jurisdiction, compliance with these statutes is not optional; it is foundational.</w:t>
      </w:r>
      <w:r>
        <w:t xml:space="preserve"> </w:t>
      </w:r>
      <w:r>
        <w:t xml:space="preserve">Literature reviewing recent corporate governance reforms highlights that ASIC has adopted a proactive regulatory stance. For auditors based in</w:t>
      </w:r>
      <w:r>
        <w:t xml:space="preserve"> </w:t>
      </w:r>
      <w:r>
        <w:rPr>
          <w:bCs/>
          <w:b/>
        </w:rPr>
        <w:t xml:space="preserve">Australia Melbourne</w:t>
      </w:r>
      <w:r>
        <w:t xml:space="preserve">, this means increased interaction with regulators during audit planning and execution phases. The report notes that the shift from a principles-based to a more rules-oriented approach in certain areas of financial reporting requires auditors to be meticulous in their documentation and risk assessment processes. Furthermore, the role of the auditor is now inextricably linked to the concept of "materiality" as interpreted by Australian courts, setting a high bar for professional judgment.</w:t>
      </w:r>
    </w:p>
    <w:bookmarkEnd w:id="24"/>
    <w:bookmarkStart w:id="25" w:name="X9e135c1fccebf6afe3382d743559fa0d16f00e4"/>
    <w:p>
      <w:pPr>
        <w:pStyle w:val="Heading2"/>
      </w:pPr>
      <w:r>
        <w:t xml:space="preserve">III. Ethical Obligations and Professional Skepticism</w:t>
      </w:r>
    </w:p>
    <w:p>
      <w:pPr>
        <w:pStyle w:val="FirstParagraph"/>
      </w:pPr>
      <w:r>
        <w:t xml:space="preserve">A significant portion of contemporary literature dedicated to auditing emphasizes ethics. In</w:t>
      </w:r>
      <w:r>
        <w:t xml:space="preserve"> </w:t>
      </w:r>
      <w:r>
        <w:rPr>
          <w:bCs/>
          <w:b/>
        </w:rPr>
        <w:t xml:space="preserve">Australia Melbourne</w:t>
      </w:r>
      <w:r>
        <w:t xml:space="preserve">, where business relationships are often close-knit due to the city's specific corporate culture, maintaining independence can be challenging for an</w:t>
      </w:r>
      <w:r>
        <w:t xml:space="preserve"> </w:t>
      </w:r>
      <w:r>
        <w:rPr>
          <w:bCs/>
          <w:b/>
        </w:rPr>
        <w:t xml:space="preserve">Auditor</w:t>
      </w:r>
      <w:r>
        <w:t xml:space="preserve">. The APES 110 Code of Ethics for Professional Accountants is the guiding standard. This report identifies that auditors in this region face unique pressures, including long-standing client relationships and economic downturns that may tempt firms to compromise quality to retain revenue.</w:t>
      </w:r>
      <w:r>
        <w:t xml:space="preserve"> </w:t>
      </w:r>
      <w:r>
        <w:t xml:space="preserve">The concept of professional skepticism is highlighted as the most critical soft skill for modern auditors. Case studies from Melbourne-based financial institutions demonstrate that a lack of skepticism often precedes audit failure. Therefore, training programs in</w:t>
      </w:r>
      <w:r>
        <w:t xml:space="preserve"> </w:t>
      </w:r>
      <w:r>
        <w:rPr>
          <w:bCs/>
          <w:b/>
        </w:rPr>
        <w:t xml:space="preserve">Australia Melbourne</w:t>
      </w:r>
      <w:r>
        <w:t xml:space="preserve"> </w:t>
      </w:r>
      <w:r>
        <w:t xml:space="preserve">increasingly focus on cognitive biases and decision-making psychology alongside technical accounting knowledge.</w:t>
      </w:r>
    </w:p>
    <w:bookmarkEnd w:id="25"/>
    <w:bookmarkStart w:id="26" w:name="Xbf5aa9d480e159521287c2e632509ce41979b0a"/>
    <w:p>
      <w:pPr>
        <w:pStyle w:val="Heading2"/>
      </w:pPr>
      <w:r>
        <w:t xml:space="preserve">IV. Technology and the Future of Auditing in Australia Melbourne</w:t>
      </w:r>
    </w:p>
    <w:p>
      <w:pPr>
        <w:pStyle w:val="FirstParagraph"/>
      </w:pPr>
      <w:r>
        <w:t xml:space="preserve">The traditional manual audit trail is rapidly becoming obsolete. This section of the report explores how digital transformation is reshaping the</w:t>
      </w:r>
      <w:r>
        <w:t xml:space="preserve"> </w:t>
      </w:r>
      <w:r>
        <w:rPr>
          <w:bCs/>
          <w:b/>
        </w:rPr>
        <w:t xml:space="preserve">Auditor</w:t>
      </w:r>
      <w:r>
        <w:t xml:space="preserve">'s toolkit in</w:t>
      </w:r>
      <w:r>
        <w:t xml:space="preserve"> </w:t>
      </w:r>
      <w:r>
        <w:rPr>
          <w:bCs/>
          <w:b/>
        </w:rPr>
        <w:t xml:space="preserve">Australia Melbourne</w:t>
      </w:r>
      <w:r>
        <w:t xml:space="preserve">. The integration of Artificial Intelligence (AI), Machine Learning, and Blockchain technology offers unprecedented opportunities for data analytics.</w:t>
      </w:r>
      <w:r>
        <w:t xml:space="preserve"> </w:t>
      </w:r>
      <w:r>
        <w:t xml:space="preserve">Research indicates that auditors in major Australian firms located in Melbourne are increasingly utilizing continuous auditing techniques. This allows for real-time monitoring of financial transactions rather than periodic sampling. However, the report also highlights a skills gap; many experienced</w:t>
      </w:r>
      <w:r>
        <w:t xml:space="preserve"> </w:t>
      </w:r>
      <w:r>
        <w:rPr>
          <w:bCs/>
          <w:b/>
        </w:rPr>
        <w:t xml:space="preserve">Auditor</w:t>
      </w:r>
      <w:r>
        <w:t xml:space="preserve"> </w:t>
      </w:r>
      <w:r>
        <w:t xml:space="preserve">professionals in the region require upskilling to interpret complex data sets generated by these technologies. The dichotomy between traditional accounting heritage and modern data science is a central theme in current professional development debates within</w:t>
      </w:r>
      <w:r>
        <w:t xml:space="preserve"> </w:t>
      </w:r>
      <w:r>
        <w:rPr>
          <w:bCs/>
          <w:b/>
        </w:rPr>
        <w:t xml:space="preserve">Australia Melbourne</w:t>
      </w:r>
      <w:r>
        <w:t xml:space="preserve">.</w:t>
      </w:r>
    </w:p>
    <w:bookmarkEnd w:id="26"/>
    <w:bookmarkStart w:id="27" w:name="Xe81bb1bc8c23d7a8480e933e6e468f92651f230"/>
    <w:p>
      <w:pPr>
        <w:pStyle w:val="Heading2"/>
      </w:pPr>
      <w:r>
        <w:t xml:space="preserve">V. Corporate Governance and Social Responsibility</w:t>
      </w:r>
    </w:p>
    <w:p>
      <w:pPr>
        <w:pStyle w:val="FirstParagraph"/>
      </w:pPr>
      <w:r>
        <w:t xml:space="preserve">In addition to financial accuracy, there is a growing expectation for the</w:t>
      </w:r>
      <w:r>
        <w:t xml:space="preserve"> </w:t>
      </w:r>
      <w:r>
        <w:rPr>
          <w:bCs/>
          <w:b/>
        </w:rPr>
        <w:t xml:space="preserve">Auditor</w:t>
      </w:r>
      <w:r>
        <w:t xml:space="preserve"> </w:t>
      </w:r>
      <w:r>
        <w:t xml:space="preserve">to play a role in assessing non-financial reporting. This includes Environmental, Social, and Governance (ESG) criteria.</w:t>
      </w:r>
      <w:r>
        <w:t xml:space="preserve"> </w:t>
      </w:r>
      <w:r>
        <w:rPr>
          <w:bCs/>
          <w:b/>
        </w:rPr>
        <w:t xml:space="preserve">Australia Melbourne</w:t>
      </w:r>
      <w:r>
        <w:t xml:space="preserve">, being a hub for sustainable finance in the Asia-Pacific region, demands that auditors verify not just financial statements but also sustainability reports.</w:t>
      </w:r>
      <w:r>
        <w:t xml:space="preserve"> </w:t>
      </w:r>
      <w:r>
        <w:t xml:space="preserve">The report critiques the current state of assurance over ESG data, noting that while interest is high in</w:t>
      </w:r>
      <w:r>
        <w:t xml:space="preserve"> </w:t>
      </w:r>
      <w:r>
        <w:rPr>
          <w:bCs/>
          <w:b/>
        </w:rPr>
        <w:t xml:space="preserve">Australia Melbourne</w:t>
      </w:r>
      <w:r>
        <w:t xml:space="preserve">, standardized frameworks are still evolving. Auditors are increasingly called upon to provide reasonable assurance on carbon footprints and diversity statistics, adding a new layer of complexity to their traditional mandate.</w:t>
      </w:r>
    </w:p>
    <w:bookmarkEnd w:id="27"/>
    <w:bookmarkStart w:id="28" w:name="vi.-critical-analysis-and-challenges"/>
    <w:p>
      <w:pPr>
        <w:pStyle w:val="Heading2"/>
      </w:pPr>
      <w:r>
        <w:t xml:space="preserve">VI. Critical Analysis and Challenges</w:t>
      </w:r>
    </w:p>
    <w:p>
      <w:pPr>
        <w:pStyle w:val="FirstParagraph"/>
      </w:pPr>
      <w:r>
        <w:t xml:space="preserve">The report identifies several systemic challenges facing the profession in</w:t>
      </w:r>
      <w:r>
        <w:t xml:space="preserve"> </w:t>
      </w:r>
      <w:r>
        <w:rPr>
          <w:bCs/>
          <w:b/>
        </w:rPr>
        <w:t xml:space="preserve">Australia Melbourne</w:t>
      </w:r>
      <w:r>
        <w:t xml:space="preserve">:</w:t>
      </w:r>
      <w:r>
        <w:t xml:space="preserve"> </w:t>
      </w:r>
      <w:r>
        <w:t xml:space="preserve">1. **Talent Retention:** The competitive market in Melbourne for qualified accountants leads to high turnover rates, impacting audit quality continuity.</w:t>
      </w:r>
      <w:r>
        <w:t xml:space="preserve"> </w:t>
      </w:r>
      <w:r>
        <w:t xml:space="preserve">2. **Regulatory Burden:** Small and medium-sized enterprises (SMEs) often find the compliance costs associated with strict auditor requirements disproportionate to their size, creating tension between regulatory bodies and local businesses.</w:t>
      </w:r>
      <w:r>
        <w:t xml:space="preserve"> </w:t>
      </w:r>
      <w:r>
        <w:t xml:space="preserve">3. **Public Trust:** Rebuilding trust after global scandals remains an ongoing challenge for auditors operating under the public gaze in</w:t>
      </w:r>
      <w:r>
        <w:t xml:space="preserve"> </w:t>
      </w:r>
      <w:r>
        <w:rPr>
          <w:bCs/>
          <w:b/>
        </w:rPr>
        <w:t xml:space="preserve">Australia Melbourne</w:t>
      </w:r>
      <w:r>
        <w:t xml:space="preserve">.</w:t>
      </w:r>
    </w:p>
    <w:bookmarkEnd w:id="28"/>
    <w:bookmarkStart w:id="29" w:name="vii.-conclusion-and-recommendations"/>
    <w:p>
      <w:pPr>
        <w:pStyle w:val="Heading2"/>
      </w:pPr>
      <w:r>
        <w:t xml:space="preserve">VII. Conclusion and Recommendations</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Australia Melbourne</w:t>
      </w:r>
      <w:r>
        <w:t xml:space="preserve"> </w:t>
      </w:r>
      <w:r>
        <w:t xml:space="preserve">is more vital than ever. It is a dynamic profession that requires a blend of statutory knowledge, ethical rigour, and technological adaptability. This book report affirms that auditors are not just checkers of numbers but guardians of market integrity within the local ecosystem.</w:t>
      </w:r>
    </w:p>
    <w:p>
      <w:pPr>
        <w:pStyle w:val="BodyText"/>
      </w:pPr>
      <w:r>
        <w:rPr>
          <w:bCs/>
          <w:b/>
        </w:rPr>
        <w:t xml:space="preserve">Recommendations:</w:t>
      </w:r>
    </w:p>
    <w:p>
      <w:pPr>
        <w:numPr>
          <w:ilvl w:val="0"/>
          <w:numId w:val="1001"/>
        </w:numPr>
        <w:pStyle w:val="Compact"/>
      </w:pPr>
      <w:r>
        <w:t xml:space="preserve">Auditing firms in</w:t>
      </w:r>
      <w:r>
        <w:t xml:space="preserve"> </w:t>
      </w:r>
      <w:r>
        <w:rPr>
          <w:bCs/>
          <w:b/>
        </w:rPr>
        <w:t xml:space="preserve">Australia Melbourne</w:t>
      </w:r>
      <w:r>
        <w:t xml:space="preserve"> </w:t>
      </w:r>
      <w:r>
        <w:t xml:space="preserve">should invest heavily in continuous professional development focused on data analytics and ESG assurance.</w:t>
      </w:r>
    </w:p>
    <w:p>
      <w:pPr>
        <w:numPr>
          <w:ilvl w:val="0"/>
          <w:numId w:val="1001"/>
        </w:numPr>
        <w:pStyle w:val="Compact"/>
      </w:pPr>
      <w:r>
        <w:t xml:space="preserve">The profession must advocate for regulatory simplification where possible to reduce burdens on smaller entities without compromising quality.</w:t>
      </w:r>
    </w:p>
    <w:p>
      <w:pPr>
        <w:numPr>
          <w:ilvl w:val="0"/>
          <w:numId w:val="1001"/>
        </w:numPr>
        <w:pStyle w:val="Compact"/>
      </w:pPr>
      <w:r>
        <w:t xml:space="preserve">Academic institutions in Victoria should collaborate more closely with industry bodies like CPA Australia and CA ANZ to ensure curricula reflect the practical realities of modern auditing.</w:t>
      </w:r>
    </w:p>
    <w:p>
      <w:pPr>
        <w:pStyle w:val="FirstParagraph"/>
      </w:pPr>
      <w:r>
        <w:t xml:space="preserve">This report underscores that the future of auditing depends on the ability of practitioners to adapt to a rapidly changing technological and regulatory landscape while maintaining the highest standards of ethical conduct.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Australia Melbourne</dc:title>
  <dc:creator/>
  <dc:language>en</dc:language>
  <cp:keywords/>
  <dcterms:created xsi:type="dcterms:W3CDTF">2026-07-29T12:03:15Z</dcterms:created>
  <dcterms:modified xsi:type="dcterms:W3CDTF">2026-07-29T12:03:15Z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