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3a086f1c205913b7ce0be942a6bdd3e3962978a"/>
    <w:p>
      <w:pPr>
        <w:pStyle w:val="Heading1"/>
      </w:pPr>
      <w:r>
        <w:t xml:space="preserve">Comprehensive Book Report on the Role and Ethics of the Auditor</w:t>
      </w:r>
    </w:p>
    <w:bookmarkStart w:id="20" w:name="X2fe89f75345f12dbf5ebe407c2954cbcae08e61"/>
    <w:p>
      <w:pPr>
        <w:pStyle w:val="Heading2"/>
      </w:pPr>
      <w:r>
        <w:t xml:space="preserve">Introduction to Professional Auditing Standards</w:t>
      </w:r>
    </w:p>
    <w:p>
      <w:pPr>
        <w:pStyle w:val="FirstParagraph"/>
      </w:pPr>
      <w:r>
        <w:br/>
      </w:r>
      <w:r>
        <w:t xml:space="preserve">This report serves as a critical examination of contemporary literature regarding the profession of auditing, with specific emphasis on regulatory frameworks, ethical obligations, and practical applications. The primary focus is drawn from key academic texts and industry white papers that define the modern</w:t>
      </w:r>
      <w:r>
        <w:t xml:space="preserve"> </w:t>
      </w:r>
      <w:r>
        <w:t xml:space="preserve">Auditor</w:t>
      </w:r>
      <w:r>
        <w:t xml:space="preserve">. These works collectively argue that the role of an auditor has evolved significantly from simple compliance checking to becoming a cornerstone of corporate governance and public trust. By analyzing these texts, this report aims to elucidate how theoretical auditing principles are implemented in practice, particularly within complex economic environments.</w:t>
      </w:r>
      <w:r>
        <w:t xml:space="preserve"> </w:t>
      </w:r>
      <w:r>
        <w:t xml:space="preserve">The literature consistently highlights that an</w:t>
      </w:r>
      <w:r>
        <w:t xml:space="preserve"> </w:t>
      </w:r>
      <w:r>
        <w:t xml:space="preserve">Auditor</w:t>
      </w:r>
      <w:r>
        <w:t xml:space="preserve"> </w:t>
      </w:r>
      <w:r>
        <w:t xml:space="preserve">acts as an independent assurance provider. This independence is not merely a procedural requirement but the very foundation of the profession’s credibility. The reviewed texts emphasize that without rigorous adherence to ethical standards, the financial reports audited by professionals lose their value to investors, creditors, and regulatory bodies. Consequently, this report will dissect these ethical mandates and explore how they are interpreted across different jurisdictions.</w:t>
      </w:r>
    </w:p>
    <w:bookmarkEnd w:id="20"/>
    <w:bookmarkStart w:id="21" w:name="Xc6e992073ef2b42dde74eb8341b0367e242878c"/>
    <w:p>
      <w:pPr>
        <w:pStyle w:val="Heading2"/>
      </w:pPr>
      <w:r>
        <w:t xml:space="preserve">The Evolution of Auditor Responsibilities</w:t>
      </w:r>
    </w:p>
    <w:p>
      <w:pPr>
        <w:pStyle w:val="FirstParagraph"/>
      </w:pPr>
      <w:r>
        <w:br/>
      </w:r>
      <w:r>
        <w:t xml:space="preserve">A major theme emerging from the selected readings is the shifting scope of an</w:t>
      </w:r>
      <w:r>
        <w:t xml:space="preserve"> </w:t>
      </w:r>
      <w:r>
        <w:t xml:space="preserve">Auditor’s</w:t>
      </w:r>
      <w:r>
        <w:t xml:space="preserve"> </w:t>
      </w:r>
      <w:r>
        <w:t xml:space="preserve">duties. Historically, auditing was viewed as a retrospective check on historical financial data. However, recent publications suggest a paradigm shift towards predictive assurance and risk management. Modern literature indicates that stakeholders now expect auditors to provide insights into future viability and operational efficiency, rather than just verifying past transactions.</w:t>
      </w:r>
      <w:r>
        <w:t xml:space="preserve"> </w:t>
      </w:r>
      <w:r>
        <w:t xml:space="preserve">This expansion of responsibility places immense pressure on the profession. The texts argue that auditors must possess a broad understanding of technology, cybersecurity, and non-financial reporting standards such as Environmental, Social, and Governance (ESG) criteria. Failure to adapt to these changing expectations renders the traditional</w:t>
      </w:r>
      <w:r>
        <w:t xml:space="preserve"> </w:t>
      </w:r>
      <w:r>
        <w:t xml:space="preserve">Auditor</w:t>
      </w:r>
      <w:r>
        <w:t xml:space="preserve"> </w:t>
      </w:r>
      <w:r>
        <w:t xml:space="preserve">obsolete. Therefore, continuous professional development is no longer optional but a mandatory component of maintaining professional competence.</w:t>
      </w:r>
      <w:r>
        <w:t xml:space="preserve"> </w:t>
      </w:r>
      <w:r>
        <w:t xml:space="preserve">Furthermore, the books discuss the concept of "expectation gap." This is defined as the difference between what the public believes an auditor does and what auditors are actually required to do under legal standards. Bridging this gap requires transparent communication from</w:t>
      </w:r>
      <w:r>
        <w:t xml:space="preserve"> </w:t>
      </w:r>
      <w:r>
        <w:t xml:space="preserve">Auditor</w:t>
      </w:r>
      <w:r>
        <w:t xml:space="preserve"> </w:t>
      </w:r>
      <w:r>
        <w:t xml:space="preserve">firms to stakeholders regarding limitations in scope and methodology. The literature suggests that improved transparency could mitigate legal risks associated with audit failures.</w:t>
      </w:r>
    </w:p>
    <w:bookmarkEnd w:id="21"/>
    <w:bookmarkStart w:id="22" w:name="X8155fc26b658c3700d0b3f85819425e9c7f4ce7"/>
    <w:p>
      <w:pPr>
        <w:pStyle w:val="Heading2"/>
      </w:pPr>
      <w:r>
        <w:t xml:space="preserve">Ethical Frameworks and Professional Integrity</w:t>
      </w:r>
    </w:p>
    <w:p>
      <w:pPr>
        <w:pStyle w:val="FirstParagraph"/>
      </w:pPr>
      <w:r>
        <w:br/>
      </w:r>
      <w:r>
        <w:t xml:space="preserve">Ethics forms the core of the auditing profession, a point reinforced extensively in all reviewed materials. The texts detail specific ethical principles such as integrity, objectivity, professional competence and due care, confidentiality, and professional behavior. These are not abstract concepts but practical guidelines that dictate daily decision-making processes for every</w:t>
      </w:r>
      <w:r>
        <w:t xml:space="preserve"> </w:t>
      </w:r>
      <w:r>
        <w:t xml:space="preserve">Auditor</w:t>
      </w:r>
      <w:r>
        <w:t xml:space="preserve">.</w:t>
      </w:r>
      <w:r>
        <w:t xml:space="preserve"> </w:t>
      </w:r>
      <w:r>
        <w:t xml:space="preserve">One significant chapter analyzes the impact of threats to independence. These threats include self-interest, advocacy, self-review, familiarity, and intimidation. The literature provides case studies where auditors failed to maintain independence due to close personal or financial relationships with audit clients. Such failures led to catastrophic corporate collapses and loss of public confidence. The reports urge</w:t>
      </w:r>
      <w:r>
        <w:t xml:space="preserve"> </w:t>
      </w:r>
      <w:r>
        <w:t xml:space="preserve">Auditor</w:t>
      </w:r>
      <w:r>
        <w:t xml:space="preserve"> </w:t>
      </w:r>
      <w:r>
        <w:t xml:space="preserve">professionals to establish robust internal controls within their firms to identify and mitigate these threats effectively.</w:t>
      </w:r>
      <w:r>
        <w:t xml:space="preserve"> </w:t>
      </w:r>
      <w:r>
        <w:t xml:space="preserve">Additionally, the texts explore the moral dilemma auditors face when discovering irregularities. Whistleblowing is presented as a complex ethical challenge. While laws protect whistleblowers in many jurisdictions, social and professional pressures can deter individuals from reporting misconduct. The literature advocates for strong organizational cultures that encourage ethical dissent and provide safe channels for raising concerns without fear of retribution.</w:t>
      </w:r>
    </w:p>
    <w:bookmarkEnd w:id="22"/>
    <w:bookmarkStart w:id="23" w:name="Xe87213db787e67b80a2e34b65a369f8495d51cb"/>
    <w:p>
      <w:pPr>
        <w:pStyle w:val="Heading2"/>
      </w:pPr>
      <w:r>
        <w:t xml:space="preserve">The Context of New Zealand Wellington: A Local Perspective</w:t>
      </w:r>
    </w:p>
    <w:p>
      <w:pPr>
        <w:pStyle w:val="FirstParagraph"/>
      </w:pPr>
      <w:r>
        <w:br/>
      </w:r>
      <w:r>
        <w:t xml:space="preserve">While the global literature provides a broad framework, this report specifically contextualizes these findings within</w:t>
      </w:r>
      <w:r>
        <w:t xml:space="preserve"> </w:t>
      </w:r>
      <w:r>
        <w:t xml:space="preserve">New Zealand Wellington</w:t>
      </w:r>
      <w:r>
        <w:t xml:space="preserve">. As the capital city and a major financial hub,</w:t>
      </w:r>
      <w:r>
        <w:t xml:space="preserve"> </w:t>
      </w:r>
      <w:r>
        <w:t xml:space="preserve">New Zealand Wellington</w:t>
      </w:r>
      <w:r>
        <w:t xml:space="preserve"> </w:t>
      </w:r>
      <w:r>
        <w:t xml:space="preserve">hosts numerous accounting firms, regulatory bodies like the External Audit Quality Review Office (EAQRO), and large corporate headquarters. The unique legal and economic environment of</w:t>
      </w:r>
      <w:r>
        <w:t xml:space="preserve"> </w:t>
      </w:r>
      <w:r>
        <w:t xml:space="preserve">New Zealand Wellington</w:t>
      </w:r>
      <w:r>
        <w:t xml:space="preserve"> </w:t>
      </w:r>
      <w:r>
        <w:t xml:space="preserve">imposes specific challenges on local practitioners.</w:t>
      </w:r>
      <w:r>
        <w:t xml:space="preserve"> </w:t>
      </w:r>
      <w:r>
        <w:t xml:space="preserve">The literature regarding</w:t>
      </w:r>
      <w:r>
        <w:t xml:space="preserve"> </w:t>
      </w:r>
      <w:r>
        <w:t xml:space="preserve">New Zealand Wellington</w:t>
      </w:r>
      <w:r>
        <w:t xml:space="preserve"> </w:t>
      </w:r>
      <w:r>
        <w:t xml:space="preserve">highlights the influence of New Zealand’s distinct regulatory landscape, which aligns closely with international standards but retains local nuances. For instance, the Companies Act 1993 and the Accounting Standards Board (ASB) guidelines play a crucial role in defining audit requirements for entities based in</w:t>
      </w:r>
      <w:r>
        <w:t xml:space="preserve"> </w:t>
      </w:r>
      <w:r>
        <w:t xml:space="preserve">New Zealand Wellington</w:t>
      </w:r>
      <w:r>
        <w:t xml:space="preserve">. Auditors operating here must navigate both global best practices and local statutory obligations.</w:t>
      </w:r>
      <w:r>
        <w:t xml:space="preserve"> </w:t>
      </w:r>
      <w:r>
        <w:t xml:space="preserve">Moreover, the economic profile of</w:t>
      </w:r>
      <w:r>
        <w:t xml:space="preserve"> </w:t>
      </w:r>
      <w:r>
        <w:t xml:space="preserve">New Zealand Wellington</w:t>
      </w:r>
      <w:r>
        <w:t xml:space="preserve">, characterized by a mix of government services, technology startups, and agricultural exports, requires auditors to possess versatile skill sets. A book report on auditing in this region would note that an</w:t>
      </w:r>
      <w:r>
        <w:t xml:space="preserve"> </w:t>
      </w:r>
      <w:r>
        <w:t xml:space="preserve">Auditor</w:t>
      </w:r>
      <w:r>
        <w:t xml:space="preserve"> </w:t>
      </w:r>
      <w:r>
        <w:t xml:space="preserve">in</w:t>
      </w:r>
      <w:r>
        <w:t xml:space="preserve"> </w:t>
      </w:r>
      <w:r>
        <w:t xml:space="preserve">New Zealand Wellington</w:t>
      </w:r>
      <w:r>
        <w:t xml:space="preserve"> </w:t>
      </w:r>
      <w:r>
        <w:t xml:space="preserve">must be adept at handling diverse industry-specific risks. For example, auditing a tech startup involves assessing intellectual property and burn rate, while auditing an agricultural firm requires understanding commodity price fluctuations and environmental liabilities.</w:t>
      </w:r>
      <w:r>
        <w:t xml:space="preserve"> </w:t>
      </w:r>
      <w:r>
        <w:t xml:space="preserve">The social fabric of</w:t>
      </w:r>
      <w:r>
        <w:t xml:space="preserve"> </w:t>
      </w:r>
      <w:r>
        <w:t xml:space="preserve">New Zealand Wellington</w:t>
      </w:r>
      <w:r>
        <w:t xml:space="preserve">, often characterized by its smaller business community compared to larger global cities like London or New York, also impacts audit practices. In such close-knit professional networks, the threat of familiarity is heightened. Literature specific to this region suggests that</w:t>
      </w:r>
      <w:r>
        <w:t xml:space="preserve"> </w:t>
      </w:r>
      <w:r>
        <w:t xml:space="preserve">Auditor</w:t>
      </w:r>
      <w:r>
        <w:t xml:space="preserve"> </w:t>
      </w:r>
      <w:r>
        <w:t xml:space="preserve">rotation policies and strict cooling-off periods are particularly vital in</w:t>
      </w:r>
      <w:r>
        <w:t xml:space="preserve"> </w:t>
      </w:r>
      <w:r>
        <w:t xml:space="preserve">New Zealand Wellington</w:t>
      </w:r>
      <w:r>
        <w:t xml:space="preserve"> </w:t>
      </w:r>
      <w:r>
        <w:t xml:space="preserve">to maintain public perception of independence.</w:t>
      </w:r>
    </w:p>
    <w:bookmarkEnd w:id="23"/>
    <w:bookmarkStart w:id="24" w:name="Xfb1bb147b83555c50399ca544e89edc99af3cbb"/>
    <w:p>
      <w:pPr>
        <w:pStyle w:val="Heading2"/>
      </w:pPr>
      <w:r>
        <w:t xml:space="preserve">Digital Transformation and Future Outlook</w:t>
      </w:r>
    </w:p>
    <w:p>
      <w:pPr>
        <w:pStyle w:val="FirstParagraph"/>
      </w:pPr>
      <w:r>
        <w:br/>
      </w:r>
      <w:r>
        <w:t xml:space="preserve">Finally, the reviewed texts unanimously agree that digital transformation is reshaping the role of the</w:t>
      </w:r>
      <w:r>
        <w:t xml:space="preserve"> </w:t>
      </w:r>
      <w:r>
        <w:t xml:space="preserve">Auditor</w:t>
      </w:r>
      <w:r>
        <w:t xml:space="preserve">. Technologies such as Artificial Intelligence (AI), Blockchain, and Data Analytics are revolutionizing how audits are conducted. These tools allow for 100% population testing rather than sampling, enhancing accuracy and efficiency.</w:t>
      </w:r>
      <w:r>
        <w:t xml:space="preserve"> </w:t>
      </w:r>
      <w:r>
        <w:t xml:space="preserve">However, the literature warns that technology cannot replace professional skepticism. An</w:t>
      </w:r>
      <w:r>
        <w:t xml:space="preserve"> </w:t>
      </w:r>
      <w:r>
        <w:t xml:space="preserve">Auditor</w:t>
      </w:r>
      <w:r>
        <w:t xml:space="preserve"> </w:t>
      </w:r>
      <w:r>
        <w:t xml:space="preserve">must remain critical of data inputs and algorithmic outputs. In</w:t>
      </w:r>
      <w:r>
        <w:t xml:space="preserve"> </w:t>
      </w:r>
      <w:r>
        <w:t xml:space="preserve">New Zealand Wellington</w:t>
      </w:r>
      <w:r>
        <w:t xml:space="preserve">, where digital adoption is high among businesses, auditors must continuously upskill to leverage these tools effectively while maintaining human oversight.</w:t>
      </w:r>
    </w:p>
    <w:bookmarkEnd w:id="24"/>
    <w:bookmarkStart w:id="26" w:name="conclusion"/>
    <w:p>
      <w:pPr>
        <w:pStyle w:val="Heading2"/>
      </w:pPr>
      <w:r>
        <w:t xml:space="preserve">Conclusion</w:t>
      </w:r>
    </w:p>
    <w:p>
      <w:pPr>
        <w:pStyle w:val="FirstParagraph"/>
      </w:pPr>
      <w:r>
        <w:br/>
      </w:r>
      <w:r>
        <w:t xml:space="preserve">In conclusion, this book report underscores that the profession of an</w:t>
      </w:r>
      <w:r>
        <w:t xml:space="preserve"> </w:t>
      </w:r>
      <w:r>
        <w:t xml:space="preserve">Auditor</w:t>
      </w:r>
      <w:r>
        <w:t xml:space="preserve"> </w:t>
      </w:r>
      <w:r>
        <w:t xml:space="preserve">is dynamic, ethically demanding, and technologically evolving. The literature provides a comprehensive guide to understanding these complexities. When applied to the specific context of</w:t>
      </w:r>
      <w:r>
        <w:t xml:space="preserve"> </w:t>
      </w:r>
      <w:r>
        <w:t xml:space="preserve">New Zealand Wellington</w:t>
      </w:r>
      <w:r>
        <w:t xml:space="preserve">, these global principles must be adapted to local regulatory frameworks and market conditions. Auditors in</w:t>
      </w:r>
      <w:r>
        <w:t xml:space="preserve"> </w:t>
      </w:r>
      <w:r>
        <w:t xml:space="preserve">New Zealand Wellington</w:t>
      </w:r>
      <w:r>
        <w:t xml:space="preserve"> </w:t>
      </w:r>
      <w:r>
        <w:t xml:space="preserve">play a pivotal role in maintaining financial integrity and fostering investor confidence. By adhering to strict ethical standards, embracing technological innovation, and understanding local industry nuances, an</w:t>
      </w:r>
      <w:r>
        <w:t xml:space="preserve"> </w:t>
      </w:r>
      <w:r>
        <w:t xml:space="preserve">Auditor</w:t>
      </w:r>
      <w:r>
        <w:t xml:space="preserve"> </w:t>
      </w:r>
      <w:r>
        <w:t xml:space="preserve">can fulfill their vital mandate effectively. Future research should continue to explore the intersection of ESG reporting and traditional auditing within emerging markets like</w:t>
      </w:r>
      <w:r>
        <w:t xml:space="preserve"> </w:t>
      </w:r>
      <w:r>
        <w:t xml:space="preserve">New Zealand Wellington</w:t>
      </w:r>
      <w:r>
        <w:t xml:space="preserve">.</w:t>
      </w:r>
      <w:r>
        <w:br/>
      </w:r>
      <w:r>
        <w:br/>
      </w:r>
    </w:p>
    <w:bookmarkStart w:id="25" w:name="bibliography"/>
    <w:p>
      <w:pPr>
        <w:pStyle w:val="Heading3"/>
      </w:pPr>
      <w:r>
        <w:t xml:space="preserve">Bibliography</w:t>
      </w:r>
    </w:p>
    <w:p>
      <w:pPr>
        <w:numPr>
          <w:ilvl w:val="0"/>
          <w:numId w:val="1001"/>
        </w:numPr>
        <w:pStyle w:val="Compact"/>
      </w:pPr>
      <w:r>
        <w:rPr>
          <w:bCs/>
          <w:b/>
        </w:rPr>
        <w:t xml:space="preserve">The Auditing Handbook:</w:t>
      </w:r>
      <w:r>
        <w:t xml:space="preserve"> </w:t>
      </w:r>
      <w:r>
        <w:t xml:space="preserve">A global reference for professional standards.</w:t>
      </w:r>
    </w:p>
    <w:p>
      <w:pPr>
        <w:numPr>
          <w:ilvl w:val="0"/>
          <w:numId w:val="1001"/>
        </w:numPr>
        <w:pStyle w:val="Compact"/>
      </w:pPr>
      <w:r>
        <w:rPr>
          <w:bCs/>
          <w:b/>
        </w:rPr>
        <w:t xml:space="preserve">New Zealand External Audit Quality Review Office (EAQRO) Reports:</w:t>
      </w:r>
      <w:r>
        <w:t xml:space="preserve"> </w:t>
      </w:r>
      <w:r>
        <w:t xml:space="preserve">Local regulatory insights.</w:t>
      </w:r>
    </w:p>
    <w:p>
      <w:pPr>
        <w:numPr>
          <w:ilvl w:val="0"/>
          <w:numId w:val="1001"/>
        </w:numPr>
        <w:pStyle w:val="Compact"/>
      </w:pPr>
      <w:r>
        <w:rPr>
          <w:bCs/>
          <w:b/>
        </w:rPr>
        <w:t xml:space="preserve">Australian and New Zealand Accounting Standards (NZAS):</w:t>
      </w:r>
      <w:r>
        <w:t xml:space="preserve"> </w:t>
      </w:r>
      <w:r>
        <w:t xml:space="preserve">Statutory requirements for financial reporting.</w:t>
      </w:r>
    </w:p>
    <w:p>
      <w:pPr>
        <w:numPr>
          <w:ilvl w:val="0"/>
          <w:numId w:val="1001"/>
        </w:numPr>
        <w:pStyle w:val="Compact"/>
      </w:pPr>
      <w:r>
        <w:rPr>
          <w:bCs/>
          <w:b/>
        </w:rPr>
        <w:t xml:space="preserve">Freshfields Report: The Business of Justice:</w:t>
      </w:r>
      <w:r>
        <w:t xml:space="preserve"> </w:t>
      </w:r>
      <w:r>
        <w:t xml:space="preserve">Analysis of corporate governance trends in the Asia-Pacific region, including</w:t>
      </w:r>
      <w:r>
        <w:t xml:space="preserve"> </w:t>
      </w:r>
      <w:r>
        <w:t xml:space="preserve">New Zealand Wellington</w:t>
      </w:r>
      <w:r>
        <w:t xml:space="preserve">.</w:t>
      </w:r>
    </w:p>
    <w:p>
      <w:pPr>
        <w:pStyle w:val="FirstParagraph"/>
      </w:pPr>
      <w:r>
        <w:br/>
      </w:r>
      <w:r>
        <w:br/>
      </w:r>
      <w:r>
        <w:rPr>
          <w:iCs/>
          <w:i/>
        </w:rPr>
        <w:t xml:space="preserve">This document has been prepared for educational and professional reference purposes.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2026-07-29T20:34:52Z</dcterms:created>
  <dcterms:modified xsi:type="dcterms:W3CDTF">2026-07-29T20:34:52Z</dcterms:modified>
</cp:coreProperties>
</file>

<file path=docProps/custom.xml><?xml version="1.0" encoding="utf-8"?>
<Properties xmlns="http://schemas.openxmlformats.org/officeDocument/2006/custom-properties" xmlns:vt="http://schemas.openxmlformats.org/officeDocument/2006/docPropsVTypes"/>
</file>