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6" w:name="X530b29d3c952ddb8a7c9b5c85c70b8f6a6c7c89"/>
    <w:p>
      <w:pPr>
        <w:pStyle w:val="Heading1"/>
      </w:pPr>
      <w:r>
        <w:t xml:space="preserve">Book Report Analysis of "The Banker"</w:t>
      </w:r>
      <w:r>
        <w:br/>
      </w:r>
      <w:r>
        <w:t xml:space="preserve">A Critical Examination Through the Lens of Canada and Vancouver</w:t>
      </w:r>
    </w:p>
    <w:bookmarkStart w:id="20" w:name="i.-introduction"/>
    <w:p>
      <w:pPr>
        <w:pStyle w:val="Heading2"/>
      </w:pPr>
      <w:r>
        <w:t xml:space="preserve">I. Introduction</w:t>
      </w:r>
    </w:p>
    <w:p>
      <w:pPr>
        <w:pStyle w:val="FirstParagraph"/>
      </w:pPr>
      <w:r>
        <w:t xml:space="preserve">The figure of the</w:t>
      </w:r>
      <w:r>
        <w:t xml:space="preserve"> </w:t>
      </w:r>
      <w:r>
        <w:rPr>
          <w:bCs/>
          <w:b/>
        </w:rPr>
        <w:t xml:space="preserve">Banker</w:t>
      </w:r>
      <w:r>
        <w:t xml:space="preserve">, as explored in various literary and sociological texts, serves as a potent symbol within contemporary capitalism. In this comprehensive report, we analyze the archetype presented in foundational banking literature—often referred to simply or collectively by its subject matter: "The Banker." This analysis is not merely an abstract economic discussion; rather, it is deeply contextualized within the specific socio-economic and geographic framework of</w:t>
      </w:r>
      <w:r>
        <w:t xml:space="preserve"> </w:t>
      </w:r>
      <w:r>
        <w:rPr>
          <w:bCs/>
          <w:b/>
        </w:rPr>
        <w:t xml:space="preserve">Canada</w:t>
      </w:r>
      <w:r>
        <w:t xml:space="preserve">, with a particular focus on its most dynamic coastal metropolis,</w:t>
      </w:r>
      <w:r>
        <w:t xml:space="preserve"> </w:t>
      </w:r>
      <w:r>
        <w:rPr>
          <w:bCs/>
          <w:b/>
        </w:rPr>
        <w:t xml:space="preserve">Vancouver</w:t>
      </w:r>
      <w:r>
        <w:t xml:space="preserve">. By examining the role of the banker through this tripartite lens—conceptual, national, and local—we uncover how financial power structures influence housing markets, social mobility, and regional identity.</w:t>
      </w:r>
    </w:p>
    <w:bookmarkEnd w:id="20"/>
    <w:bookmarkStart w:id="21" w:name="Xd127a0d46e345f6eb5f139fd856750c5404afbd"/>
    <w:p>
      <w:pPr>
        <w:pStyle w:val="Heading2"/>
      </w:pPr>
      <w:r>
        <w:t xml:space="preserve">II. The Archetype of The Banker in Modern Literature</w:t>
      </w:r>
    </w:p>
    <w:p>
      <w:pPr>
        <w:pStyle w:val="FirstParagraph"/>
      </w:pPr>
      <w:r>
        <w:t xml:space="preserve">In literary depictions and economic case studies alike, the</w:t>
      </w:r>
      <w:r>
        <w:t xml:space="preserve"> </w:t>
      </w:r>
      <w:r>
        <w:rPr>
          <w:bCs/>
          <w:b/>
        </w:rPr>
        <w:t xml:space="preserve">Banker</w:t>
      </w:r>
      <w:r>
        <w:t xml:space="preserve"> </w:t>
      </w:r>
      <w:r>
        <w:t xml:space="preserve">is rarely portrayed as a simple administrator of funds. Instead, they are depicted as gatekeepers of opportunity and architects of societal structure. Whether viewed through the critical eyes of authors like John Kenneth Galbraith or in more modern critiques by authors such as Michael Lewis, the banker represents a dual nature: they are both essential stabilizers of the economy and potential sources of systemic risk.</w:t>
      </w:r>
    </w:p>
    <w:p>
      <w:pPr>
        <w:pStyle w:val="BodyText"/>
      </w:pPr>
      <w:r>
        <w:t xml:space="preserve">The narrative surrounding</w:t>
      </w:r>
      <w:r>
        <w:t xml:space="preserve"> </w:t>
      </w:r>
      <w:r>
        <w:rPr>
          <w:bCs/>
          <w:b/>
        </w:rPr>
        <w:t xml:space="preserve">The Banker</w:t>
      </w:r>
      <w:r>
        <w:t xml:space="preserve"> </w:t>
      </w:r>
      <w:r>
        <w:t xml:space="preserve">often highlights tension between profit maximization and public welfare. In many narratives, this character possesses an almost god-like ability to determine who succeeds and who fails. This thematic element is crucial for our analysis, as it sets the stage for understanding how financial decisions made in boardrooms have tangible human consequences.</w:t>
      </w:r>
    </w:p>
    <w:bookmarkEnd w:id="21"/>
    <w:bookmarkStart w:id="22" w:name="X2f7be5c116b05a66ee7a1fa9d84e50cff46c986"/>
    <w:p>
      <w:pPr>
        <w:pStyle w:val="Heading2"/>
      </w:pPr>
      <w:r>
        <w:t xml:space="preserve">III. The Canadian Context: A Nation of Stability and Inequality</w:t>
      </w:r>
    </w:p>
    <w:p>
      <w:pPr>
        <w:pStyle w:val="FirstParagraph"/>
      </w:pPr>
      <w:r>
        <w:t xml:space="preserve">To understand the impact of</w:t>
      </w:r>
      <w:r>
        <w:t xml:space="preserve"> </w:t>
      </w:r>
      <w:r>
        <w:rPr>
          <w:bCs/>
          <w:b/>
        </w:rPr>
        <w:t xml:space="preserve">The Banker</w:t>
      </w:r>
      <w:r>
        <w:t xml:space="preserve">, one must first look at</w:t>
      </w:r>
      <w:r>
        <w:t xml:space="preserve"> </w:t>
      </w:r>
      <w:r>
        <w:rPr>
          <w:bCs/>
          <w:b/>
        </w:rPr>
        <w:t xml:space="preserve">Canada</w:t>
      </w:r>
      <w:r>
        <w:t xml:space="preserve">. Historically, the six largest Canadian banks (often referred to as the Big Six) have maintained a highly consolidated market structure. This consolidation creates a unique environment where bankers wield significant influence over national policy and individual livelihoods. Unlike the fragmented banking systems of some other nations, Canada’s banking sector is characterized by stability but also by an oligopolistic nature that limits consumer choice.</w:t>
      </w:r>
    </w:p>
    <w:p>
      <w:pPr>
        <w:pStyle w:val="BodyText"/>
      </w:pPr>
      <w:r>
        <w:t xml:space="preserve">In the broader Canadian context, the</w:t>
      </w:r>
      <w:r>
        <w:t xml:space="preserve"> </w:t>
      </w:r>
      <w:r>
        <w:rPr>
          <w:bCs/>
          <w:b/>
        </w:rPr>
        <w:t xml:space="preserve">Banker</w:t>
      </w:r>
      <w:r>
        <w:t xml:space="preserve"> </w:t>
      </w:r>
      <w:r>
        <w:t xml:space="preserve">has often been viewed with a mixture of respect and resentment. The country’s consistent avoidance of major financial crises since the Great Depression is frequently attributed to prudent banking regulations. However, recent years have exposed cracks in this facade. As housing affordability becomes a critical national emergency, the role of bankers as providers of mortgage credit comes under intense scrutiny. The Canadian narrative suggests that while</w:t>
      </w:r>
      <w:r>
        <w:t xml:space="preserve"> </w:t>
      </w:r>
      <w:r>
        <w:rPr>
          <w:bCs/>
          <w:b/>
        </w:rPr>
        <w:t xml:space="preserve">The Banker</w:t>
      </w:r>
      <w:r>
        <w:t xml:space="preserve"> </w:t>
      </w:r>
      <w:r>
        <w:t xml:space="preserve">ensures stability, they may also inadvertently contribute to wealth inequality by inflating asset prices.</w:t>
      </w:r>
    </w:p>
    <w:bookmarkEnd w:id="22"/>
    <w:bookmarkStart w:id="23" w:name="X99499742df7bf06fe6c7a12fffbf757bf130832"/>
    <w:p>
      <w:pPr>
        <w:pStyle w:val="Heading2"/>
      </w:pPr>
      <w:r>
        <w:t xml:space="preserve">IV. Vancouver: The Epicenter of Financial Pressure</w:t>
      </w:r>
    </w:p>
    <w:p>
      <w:pPr>
        <w:pStyle w:val="FirstParagraph"/>
      </w:pPr>
      <w:r>
        <w:t xml:space="preserve">No city illustrates the tension between</w:t>
      </w:r>
      <w:r>
        <w:t xml:space="preserve"> </w:t>
      </w:r>
      <w:r>
        <w:rPr>
          <w:bCs/>
          <w:b/>
        </w:rPr>
        <w:t xml:space="preserve">The Banker</w:t>
      </w:r>
      <w:r>
        <w:t xml:space="preserve">, Canadian national trends, and local reality quite like</w:t>
      </w:r>
      <w:r>
        <w:t xml:space="preserve"> </w:t>
      </w:r>
      <w:r>
        <w:rPr>
          <w:bCs/>
          <w:b/>
        </w:rPr>
        <w:t xml:space="preserve">Vancouver</w:t>
      </w:r>
      <w:r>
        <w:t xml:space="preserve">. Located in British Columbia, Vancouver has become a global symbol of the housing crisis. For decades, real estate prices in this West Coast hub have outpaced income growth by staggering margins. In this context, the</w:t>
      </w:r>
      <w:r>
        <w:t xml:space="preserve"> </w:t>
      </w:r>
      <w:r>
        <w:rPr>
          <w:bCs/>
          <w:b/>
        </w:rPr>
        <w:t xml:space="preserve">Banker</w:t>
      </w:r>
      <w:r>
        <w:t xml:space="preserve"> </w:t>
      </w:r>
      <w:r>
        <w:t xml:space="preserve">is not just an abstract concept but a daily reality for millions of residents.</w:t>
      </w:r>
    </w:p>
    <w:p>
      <w:pPr>
        <w:pStyle w:val="BodyText"/>
      </w:pPr>
      <w:r>
        <w:rPr>
          <w:bCs/>
          <w:b/>
        </w:rPr>
        <w:t xml:space="preserve">The Banker’s</w:t>
      </w:r>
      <w:r>
        <w:t xml:space="preserve"> </w:t>
      </w:r>
      <w:r>
        <w:t xml:space="preserve">role in Vancouver is multifaceted. On one hand, bankers provide the capital necessary for development and homeownership, fueling the city's growth as a tech and film hub. On the other hand, aggressive lending practices and high-interest rate environments have made it increasingly difficult for first-time buyers to enter the market. The local demographic has shifted dramatically; young professionals are priced out of their own cities due to stringent mortgage qualification standards enforced by bankers.</w:t>
      </w:r>
    </w:p>
    <w:p>
      <w:pPr>
        <w:pStyle w:val="BodyText"/>
      </w:pPr>
      <w:r>
        <w:t xml:space="preserve">Furthermore, Vancouver’s status as an international investment destination has attracted global capital, managed largely by international and domestic banks. This influx of foreign wealth, facilitated by</w:t>
      </w:r>
      <w:r>
        <w:t xml:space="preserve"> </w:t>
      </w:r>
      <w:r>
        <w:rPr>
          <w:bCs/>
          <w:b/>
        </w:rPr>
        <w:t xml:space="preserve">The Banker</w:t>
      </w:r>
      <w:r>
        <w:t xml:space="preserve">, has driven up property values to levels that are detached from local economic fundamentals. The result is a city where the influence of banking institutions extends far beyond finance into urban planning and social cohesion.</w:t>
      </w:r>
    </w:p>
    <w:bookmarkEnd w:id="23"/>
    <w:bookmarkStart w:id="24" w:name="v.-synthesis-intersecting-forces"/>
    <w:p>
      <w:pPr>
        <w:pStyle w:val="Heading2"/>
      </w:pPr>
      <w:r>
        <w:t xml:space="preserve">V. Synthesis: Intersecting Forces</w:t>
      </w:r>
    </w:p>
    <w:p>
      <w:pPr>
        <w:pStyle w:val="FirstParagraph"/>
      </w:pPr>
      <w:r>
        <w:t xml:space="preserve">When we synthesize the themes of</w:t>
      </w:r>
      <w:r>
        <w:t xml:space="preserve"> </w:t>
      </w:r>
      <w:r>
        <w:rPr>
          <w:bCs/>
          <w:b/>
        </w:rPr>
        <w:t xml:space="preserve">The Banker</w:t>
      </w:r>
      <w:r>
        <w:t xml:space="preserve">,</w:t>
      </w:r>
      <w:r>
        <w:t xml:space="preserve"> </w:t>
      </w:r>
      <w:r>
        <w:rPr>
          <w:bCs/>
          <w:b/>
        </w:rPr>
        <w:t xml:space="preserve">Canada</w:t>
      </w:r>
      <w:r>
        <w:t xml:space="preserve">, and</w:t>
      </w:r>
      <w:r>
        <w:t xml:space="preserve"> </w:t>
      </w:r>
      <w:r>
        <w:rPr>
          <w:bCs/>
          <w:b/>
        </w:rPr>
        <w:t xml:space="preserve">Vancouver</w:t>
      </w:r>
      <w:r>
        <w:t xml:space="preserve">, a clear pattern emerges. The literary archetype of the powerful financier is realized in Canadian policy, which prioritizes banking stability above all else. This policy framework then manifests locally in Vancouver, where high barriers to entry for homeownership reflect the risk-averse nature of major financial institutions.</w:t>
      </w:r>
    </w:p>
    <w:p>
      <w:pPr>
        <w:pStyle w:val="BodyText"/>
      </w:pPr>
      <w:r>
        <w:t xml:space="preserve">The book report highlights that</w:t>
      </w:r>
      <w:r>
        <w:t xml:space="preserve"> </w:t>
      </w:r>
      <w:r>
        <w:rPr>
          <w:bCs/>
          <w:b/>
        </w:rPr>
        <w:t xml:space="preserve">The Banker</w:t>
      </w:r>
      <w:r>
        <w:t xml:space="preserve"> </w:t>
      </w:r>
      <w:r>
        <w:t xml:space="preserve">is not an isolated actor but a node in a larger network of regulatory and economic forces. In Canada, the relationship between government and big banks is symbiotic. In Vancouver, this symbiosis impacts social welfare, leading to gentrification and displacement. The narrative arc here moves from theoretical power (the banker in literature) to national implementation (Canadian banking laws) to local consequence (Vancouver housing market).</w:t>
      </w:r>
    </w:p>
    <w:bookmarkEnd w:id="24"/>
    <w:bookmarkStart w:id="25" w:name="vi.-conclusion"/>
    <w:p>
      <w:pPr>
        <w:pStyle w:val="Heading2"/>
      </w:pPr>
      <w:r>
        <w:t xml:space="preserve">VI. Conclusion</w:t>
      </w:r>
    </w:p>
    <w:p>
      <w:pPr>
        <w:pStyle w:val="FirstParagraph"/>
      </w:pPr>
      <w:r>
        <w:t xml:space="preserve">In conclusion, analyzing</w:t>
      </w:r>
      <w:r>
        <w:t xml:space="preserve"> </w:t>
      </w:r>
      <w:r>
        <w:rPr>
          <w:bCs/>
          <w:b/>
        </w:rPr>
        <w:t xml:space="preserve">The Banker</w:t>
      </w:r>
      <w:r>
        <w:t xml:space="preserve"> </w:t>
      </w:r>
      <w:r>
        <w:t xml:space="preserve">through the specific lens of</w:t>
      </w:r>
      <w:r>
        <w:t xml:space="preserve"> </w:t>
      </w:r>
      <w:r>
        <w:rPr>
          <w:bCs/>
          <w:b/>
        </w:rPr>
        <w:t xml:space="preserve">Canada</w:t>
      </w:r>
      <w:r>
        <w:t xml:space="preserve">, and specifically</w:t>
      </w:r>
      <w:r>
        <w:t xml:space="preserve"> </w:t>
      </w:r>
      <w:r>
        <w:rPr>
          <w:bCs/>
          <w:b/>
        </w:rPr>
        <w:t xml:space="preserve">Vancouver</w:t>
      </w:r>
      <w:r>
        <w:t xml:space="preserve">, reveals the profound interconnectedness of finance and daily life. The literature surrounding banking professionals suggests they are pivotal figures in shaping societal outcomes. In Canada, this is evidenced by the concentrated power of its major banks. In Vancouver, this power is felt most acutely in the housing market.</w:t>
      </w:r>
    </w:p>
    <w:p>
      <w:pPr>
        <w:pStyle w:val="BodyText"/>
      </w:pPr>
      <w:r>
        <w:t xml:space="preserve">As we move forward, it will be critical to examine whether the traditional role of</w:t>
      </w:r>
      <w:r>
        <w:t xml:space="preserve"> </w:t>
      </w:r>
      <w:r>
        <w:rPr>
          <w:bCs/>
          <w:b/>
        </w:rPr>
        <w:t xml:space="preserve">The Banker</w:t>
      </w:r>
      <w:r>
        <w:t xml:space="preserve"> </w:t>
      </w:r>
      <w:r>
        <w:t xml:space="preserve">can adapt to a more inclusive economic model. Can Canadian banking institutions play a role in solving the affordability crisis in</w:t>
      </w:r>
      <w:r>
        <w:t xml:space="preserve"> </w:t>
      </w:r>
      <w:r>
        <w:rPr>
          <w:bCs/>
          <w:b/>
        </w:rPr>
        <w:t xml:space="preserve">Vancouver</w:t>
      </w:r>
      <w:r>
        <w:t xml:space="preserve">, rather than exacerbating it? The answer likely lies in rethinking the balance between profitability and social responsibility—a central theme that continues to resonate in both literary critiques and real-world policy debates.</w:t>
      </w:r>
    </w:p>
    <w:p>
      <w:pPr>
        <w:pStyle w:val="BodyText"/>
      </w:pPr>
      <w:r>
        <w:t xml:space="preserve">This report underscores that understanding</w:t>
      </w:r>
      <w:r>
        <w:t xml:space="preserve"> </w:t>
      </w:r>
      <w:r>
        <w:rPr>
          <w:bCs/>
          <w:b/>
        </w:rPr>
        <w:t xml:space="preserve">The Banker</w:t>
      </w:r>
      <w:r>
        <w:t xml:space="preserve"> </w:t>
      </w:r>
      <w:r>
        <w:t xml:space="preserve">is not just about economics; it is about understanding the human cost of financial systems in places like</w:t>
      </w:r>
      <w:r>
        <w:t xml:space="preserve"> </w:t>
      </w:r>
      <w:r>
        <w:rPr>
          <w:bCs/>
          <w:b/>
        </w:rPr>
        <w:t xml:space="preserve">Vancouver</w:t>
      </w:r>
      <w:r>
        <w:t xml:space="preserve">, within the broader nation of</w:t>
      </w:r>
      <w:r>
        <w:t xml:space="preserve"> </w:t>
      </w:r>
      <w:r>
        <w:rPr>
          <w:bCs/>
          <w:b/>
        </w:rPr>
        <w:t xml:space="preserve">Canada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Canada, Vancouver</dc:title>
  <dc:creator/>
  <dc:language>en</dc:language>
  <cp:keywords/>
  <dcterms:created xsi:type="dcterms:W3CDTF">2026-07-29T04:08:47Z</dcterms:created>
  <dcterms:modified xsi:type="dcterms:W3CDTF">2026-07-29T04:08:47Z</dcterms:modified>
</cp:coreProperties>
</file>

<file path=docProps/custom.xml><?xml version="1.0" encoding="utf-8"?>
<Properties xmlns="http://schemas.openxmlformats.org/officeDocument/2006/custom-properties" xmlns:vt="http://schemas.openxmlformats.org/officeDocument/2006/docPropsVTypes"/>
</file>