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p>
    <w:bookmarkStart w:id="29" w:name="X77fb17ffe2179f6cdb2481ab8c13cf871ca23b0"/>
    <w:p>
      <w:pPr>
        <w:pStyle w:val="Heading1"/>
      </w:pPr>
      <w:r>
        <w:t xml:space="preserve">Book Report: The Modern Banker – A Critical Analysis of Financial Intermediation</w:t>
      </w:r>
    </w:p>
    <w:p>
      <w:pPr>
        <w:pStyle w:val="FirstParagraph"/>
      </w:pPr>
      <w:r>
        <w:rPr>
          <w:bCs/>
          <w:b/>
        </w:rPr>
        <w:t xml:space="preserve">Date:</w:t>
      </w:r>
      <w:r>
        <w:t xml:space="preserve"> </w:t>
      </w:r>
      <w:r>
        <w:t xml:space="preserve">October 26, 2023</w:t>
      </w:r>
      <w:r>
        <w:br/>
      </w:r>
      <w:r>
        <w:rPr>
          <w:bCs/>
          <w:b/>
        </w:rPr>
        <w:t xml:space="preserve">Title:</w:t>
      </w:r>
      <w:r>
        <w:rPr>
          <w:iCs/>
          <w:i/>
        </w:rPr>
        <w:t xml:space="preserve">The Banker’s Dilemma: Trust, Technology, and Global Capital</w:t>
      </w:r>
      <w:r>
        <w:br/>
      </w:r>
      <w:r>
        <w:rPr>
          <w:vertAlign w:val="subscript"/>
        </w:rPr>
        <w:t xml:space="preserve">(Note: This report analyzes the archetypal role of the Banker as depicted in contemporary financial literature and case studies.)</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Banker</w:t>
      </w:r>
      <w:r>
        <w:t xml:space="preserve"> </w:t>
      </w:r>
      <w:r>
        <w:t xml:space="preserve">has long stood as a pillar of global economic stability, yet this institution is currently undergoing its most profound transformation in history. This report serves as a comprehensive examination of the evolving responsibilities, ethical challenges, and strategic imperatives facing modern financial professionals. While the principles of banking are universal, their application is deeply contextual. Therefore, this analysis places specific emphasis on the dynamic environment of</w:t>
      </w:r>
      <w:r>
        <w:t xml:space="preserve"> </w:t>
      </w:r>
      <w:r>
        <w:rPr>
          <w:bCs/>
          <w:b/>
        </w:rPr>
        <w:t xml:space="preserve">China Guangzhou</w:t>
      </w:r>
      <w:r>
        <w:t xml:space="preserve">, a city that serves as both a historical trading hub and a futuristic engine of digital finance.</w:t>
      </w:r>
    </w:p>
    <w:p>
      <w:pPr>
        <w:pStyle w:val="BodyText"/>
      </w:pPr>
      <w:r>
        <w:t xml:space="preserve">The purpose of this document is not merely to summarize financial theory but to evaluate how the traditional role of the Banker must adapt to meet the unique demands of one of Asia’s most vibrant economic centers. By bridging general banking principles with localized case studies from Guangzhou, we can understand how global standards are implemented in practice.</w:t>
      </w:r>
    </w:p>
    <w:bookmarkEnd w:id="20"/>
    <w:bookmarkStart w:id="21" w:name="Xfff53cedd1aab7c8ae275d19c07939ef6d49381"/>
    <w:p>
      <w:pPr>
        <w:pStyle w:val="Heading2"/>
      </w:pPr>
      <w:r>
        <w:t xml:space="preserve">2. The Traditional and Evolving Role of the Banker</w:t>
      </w:r>
    </w:p>
    <w:p>
      <w:pPr>
        <w:pStyle w:val="FirstParagraph"/>
      </w:pPr>
      <w:r>
        <w:t xml:space="preserve">Historically, the core function of the</w:t>
      </w:r>
      <w:r>
        <w:t xml:space="preserve"> </w:t>
      </w:r>
      <w:r>
        <w:rPr>
          <w:bCs/>
          <w:b/>
        </w:rPr>
        <w:t xml:space="preserve">Banker</w:t>
      </w:r>
      <w:r>
        <w:t xml:space="preserve"> </w:t>
      </w:r>
      <w:r>
        <w:t xml:space="preserve">was simple: intermediary between savers and borrowers. However, contemporary literature suggests that this definition is woefully inadequate for today’s complex markets. The modern Banker must now act as a risk manager, a technological strategist, and a fiduciary advisor in an era of unprecedented volatility.</w:t>
      </w:r>
    </w:p>
    <w:p>
      <w:pPr>
        <w:pStyle w:val="BodyText"/>
      </w:pPr>
      <w:r>
        <w:t xml:space="preserve">The text highlights several key shifts:</w:t>
      </w:r>
    </w:p>
    <w:p>
      <w:pPr>
        <w:numPr>
          <w:ilvl w:val="0"/>
          <w:numId w:val="1001"/>
        </w:numPr>
        <w:pStyle w:val="Compact"/>
      </w:pPr>
      <w:r>
        <w:rPr>
          <w:bCs/>
          <w:b/>
        </w:rPr>
        <w:t xml:space="preserve">Digital Transformation:</w:t>
      </w:r>
      <w:r>
        <w:t xml:space="preserve"> </w:t>
      </w:r>
      <w:r>
        <w:t xml:space="preserve">The rise of Fintech has forced traditional Bankers to pivot from relationship-based banking to data-driven advisory services.</w:t>
      </w:r>
    </w:p>
    <w:p>
      <w:pPr>
        <w:numPr>
          <w:ilvl w:val="0"/>
          <w:numId w:val="1001"/>
        </w:numPr>
        <w:pStyle w:val="Compact"/>
      </w:pPr>
      <w:r>
        <w:rPr>
          <w:bCs/>
          <w:b/>
        </w:rPr>
        <w:t xml:space="preserve">Ethical Stewardship:</w:t>
      </w:r>
      <w:r>
        <w:t xml:space="preserve"> </w:t>
      </w:r>
      <w:r>
        <w:t xml:space="preserve">Post-2008 regulations have intensified the need for transparency. The Banker is no longer just a profit maximizer but a guardian of systemic integrity.</w:t>
      </w:r>
    </w:p>
    <w:p>
      <w:pPr>
        <w:numPr>
          <w:ilvl w:val="0"/>
          <w:numId w:val="1001"/>
        </w:numPr>
        <w:pStyle w:val="Compact"/>
      </w:pPr>
      <w:r>
        <w:rPr>
          <w:bCs/>
          <w:b/>
        </w:rPr>
        <w:t xml:space="preserve">Cross-Border Complexity:</w:t>
      </w:r>
      <w:r>
        <w:t xml:space="preserve"> </w:t>
      </w:r>
      <w:r>
        <w:t xml:space="preserve">With globalization, Bankers must navigate diverse regulatory frameworks, cultural nuances, and geopolitical tensions.</w:t>
      </w:r>
    </w:p>
    <w:bookmarkEnd w:id="21"/>
    <w:bookmarkStart w:id="25" w:name="X85a7638440f81706b22b01245eb5f523a9b9fad"/>
    <w:p>
      <w:pPr>
        <w:pStyle w:val="Heading2"/>
      </w:pPr>
      <w:r>
        <w:t xml:space="preserve">3. Contextual Analysis: The Specific Case of China Guangzhou</w:t>
      </w:r>
    </w:p>
    <w:p>
      <w:pPr>
        <w:pStyle w:val="FirstParagraph"/>
      </w:pPr>
      <w:r>
        <w:t xml:space="preserve">To truly appreciate the challenges facing the modern Banker, one must look beyond generic Western models and examine specific regional ecosystems. This section focuses on</w:t>
      </w:r>
      <w:r>
        <w:t xml:space="preserve"> </w:t>
      </w:r>
      <w:r>
        <w:rPr>
          <w:bCs/>
          <w:b/>
        </w:rPr>
        <w:t xml:space="preserve">China Guangzhou</w:t>
      </w:r>
      <w:r>
        <w:t xml:space="preserve">, a city that offers a unique lens through which to view banking innovation.</w:t>
      </w:r>
    </w:p>
    <w:bookmarkStart w:id="22" w:name="the-pearl-river-delta-economic-engine"/>
    <w:p>
      <w:pPr>
        <w:pStyle w:val="Heading3"/>
      </w:pPr>
      <w:r>
        <w:t xml:space="preserve">3.1 The Pearl River Delta Economic Engine</w:t>
      </w:r>
    </w:p>
    <w:p>
      <w:pPr>
        <w:pStyle w:val="FirstParagraph"/>
      </w:pPr>
      <w:r>
        <w:rPr>
          <w:bCs/>
          <w:b/>
        </w:rPr>
        <w:t xml:space="preserve">China Guangzhou</w:t>
      </w:r>
      <w:r>
        <w:t xml:space="preserve"> </w:t>
      </w:r>
      <w:r>
        <w:t xml:space="preserve">is the capital of Guangdong Province and the center of the Pearl River Delta, one of the most economically powerful regions in Asia. For a Banker operating here, understanding local supply chains is critical. The city hosts millions of small-to-medium enterprises (SMEs) involved in manufacturing and trade. Consequently, Bankers in this region cannot rely solely on collateral-based lending; they must develop sophisticated cash-flow analysis models tailored to agile manufacturing firms.</w:t>
      </w:r>
    </w:p>
    <w:bookmarkEnd w:id="22"/>
    <w:bookmarkStart w:id="23" w:name="digital-finance-leadership"/>
    <w:p>
      <w:pPr>
        <w:pStyle w:val="Heading3"/>
      </w:pPr>
      <w:r>
        <w:t xml:space="preserve">3.2 Digital Finance Leadership</w:t>
      </w:r>
    </w:p>
    <w:p>
      <w:pPr>
        <w:pStyle w:val="FirstParagraph"/>
      </w:pPr>
      <w:r>
        <w:rPr>
          <w:bCs/>
          <w:b/>
        </w:rPr>
        <w:t xml:space="preserve">China Guangzhou</w:t>
      </w:r>
      <w:r>
        <w:t xml:space="preserve"> </w:t>
      </w:r>
      <w:r>
        <w:t xml:space="preserve">is rapidly becoming a hub for digital currency experimentation and mobile payment integration. Unlike traditional Western banking centers, the region has leapfrogged credit cards in favor of integrated QR-code payment ecosystems. This presents a unique challenge for the Banker: how to integrate legacy banking infrastructure with third-party fintech platforms prevalent in</w:t>
      </w:r>
      <w:r>
        <w:t xml:space="preserve"> </w:t>
      </w:r>
      <w:r>
        <w:rPr>
          <w:bCs/>
          <w:b/>
        </w:rPr>
        <w:t xml:space="preserve">China Guangzhou</w:t>
      </w:r>
      <w:r>
        <w:t xml:space="preserve">. The report identifies that successful Bankers here are those who collaborate with local tech giants rather than viewing them purely as competitors.</w:t>
      </w:r>
    </w:p>
    <w:bookmarkEnd w:id="23"/>
    <w:bookmarkStart w:id="24" w:name="regulatory-nuances-and-compliance"/>
    <w:p>
      <w:pPr>
        <w:pStyle w:val="Heading3"/>
      </w:pPr>
      <w:r>
        <w:t xml:space="preserve">3.3 Regulatory Nuances and Compliance</w:t>
      </w:r>
    </w:p>
    <w:p>
      <w:pPr>
        <w:pStyle w:val="FirstParagraph"/>
      </w:pPr>
      <w:r>
        <w:t xml:space="preserve">The regulatory environment in</w:t>
      </w:r>
      <w:r>
        <w:t xml:space="preserve"> </w:t>
      </w:r>
      <w:r>
        <w:rPr>
          <w:bCs/>
          <w:b/>
        </w:rPr>
        <w:t xml:space="preserve">China Guangzhou</w:t>
      </w:r>
      <w:r>
        <w:t xml:space="preserve"> </w:t>
      </w:r>
      <w:r>
        <w:t xml:space="preserve">is distinct, shaped by national policies from Beijing but implemented with local flexibility. Bankers must possess a deep understanding of cross-border capital controls, foreign exchange regulations, and the evolving legal framework for intellectual property protection. For international Bankers entering this market, cultural competence is as important as financial literacy.</w:t>
      </w:r>
    </w:p>
    <w:bookmarkEnd w:id="24"/>
    <w:bookmarkEnd w:id="25"/>
    <w:bookmarkStart w:id="26" w:name="key-themes-and-ethical-considerations"/>
    <w:p>
      <w:pPr>
        <w:pStyle w:val="Heading2"/>
      </w:pPr>
      <w:r>
        <w:t xml:space="preserve">4. Key Themes and Ethical Considerations</w:t>
      </w:r>
    </w:p>
    <w:p>
      <w:pPr>
        <w:pStyle w:val="FirstParagraph"/>
      </w:pPr>
      <w:r>
        <w:t xml:space="preserve">The analysis reveals three dominant themes relevant to both the global Banker and the specific context of</w:t>
      </w:r>
      <w:r>
        <w:t xml:space="preserve"> </w:t>
      </w:r>
      <w:r>
        <w:rPr>
          <w:bCs/>
          <w:b/>
        </w:rPr>
        <w:t xml:space="preserve">China Guangzhou</w:t>
      </w:r>
      <w:r>
        <w:t xml:space="preserve">:</w:t>
      </w:r>
    </w:p>
    <w:p>
      <w:pPr>
        <w:numPr>
          <w:ilvl w:val="0"/>
          <w:numId w:val="1002"/>
        </w:numPr>
        <w:pStyle w:val="Compact"/>
      </w:pPr>
      <w:r>
        <w:rPr>
          <w:bCs/>
          <w:b/>
        </w:rPr>
        <w:t xml:space="preserve">Sustainability (ESG):</w:t>
      </w:r>
      <w:r>
        <w:br/>
      </w:r>
      <w:r>
        <w:t xml:space="preserve">In line with China’s national goals for carbon neutrality, Bankers in</w:t>
      </w:r>
      <w:r>
        <w:t xml:space="preserve"> </w:t>
      </w:r>
      <w:r>
        <w:rPr>
          <w:bCs/>
          <w:b/>
        </w:rPr>
        <w:t xml:space="preserve">China Guangzhou</w:t>
      </w:r>
      <w:r>
        <w:t xml:space="preserve"> </w:t>
      </w:r>
      <w:r>
        <w:t xml:space="preserve">are increasingly tasked with financing green technology projects. The modern Banker must evaluate not just financial returns but environmental impact.</w:t>
      </w:r>
    </w:p>
    <w:p>
      <w:pPr>
        <w:numPr>
          <w:ilvl w:val="0"/>
          <w:numId w:val="1002"/>
        </w:numPr>
        <w:pStyle w:val="Compact"/>
      </w:pPr>
      <w:r>
        <w:rPr>
          <w:bCs/>
          <w:b/>
        </w:rPr>
        <w:t xml:space="preserve">Data Security and Privacy:</w:t>
      </w:r>
      <w:r>
        <w:br/>
      </w:r>
      <w:r>
        <w:t xml:space="preserve">With the heavy digitization of banking services in regions like</w:t>
      </w:r>
      <w:r>
        <w:t xml:space="preserve"> </w:t>
      </w:r>
      <w:r>
        <w:rPr>
          <w:bCs/>
          <w:b/>
        </w:rPr>
        <w:t xml:space="preserve">China Guangzhou</w:t>
      </w:r>
      <w:r>
        <w:t xml:space="preserve">, data privacy becomes a paramount concern. Bankers are responsible for safeguarding customer information against cyber threats, requiring significant investment in cybersecurity infrastructure.</w:t>
      </w:r>
    </w:p>
    <w:p>
      <w:pPr>
        <w:numPr>
          <w:ilvl w:val="0"/>
          <w:numId w:val="1002"/>
        </w:numPr>
        <w:pStyle w:val="Compact"/>
      </w:pPr>
      <w:r>
        <w:rPr>
          <w:bCs/>
          <w:b/>
        </w:rPr>
        <w:t xml:space="preserve">Inclusive Banking:</w:t>
      </w:r>
      <w:r>
        <w:br/>
      </w:r>
      <w:r>
        <w:t xml:space="preserve">The report emphasizes the role of the Banker in financial inclusion. In</w:t>
      </w:r>
      <w:r>
        <w:t xml:space="preserve"> </w:t>
      </w:r>
      <w:r>
        <w:rPr>
          <w:bCs/>
          <w:b/>
        </w:rPr>
        <w:t xml:space="preserve">China Guangzhou</w:t>
      </w:r>
      <w:r>
        <w:t xml:space="preserve">, this means providing accessible financial services to migrant workers and rural entrepreneurs who may lack traditional credit histories.</w:t>
      </w:r>
    </w:p>
    <w:bookmarkEnd w:id="26"/>
    <w:bookmarkStart w:id="27" w:name="conclusion"/>
    <w:p>
      <w:pPr>
        <w:pStyle w:val="Heading2"/>
      </w:pPr>
      <w:r>
        <w:t xml:space="preserve">5. Conclusion</w:t>
      </w:r>
    </w:p>
    <w:p>
      <w:pPr>
        <w:pStyle w:val="FirstParagraph"/>
      </w:pPr>
      <w:r>
        <w:t xml:space="preserve">In conclusion, this report demonstrates that the role of the Banker is far from static. It is a dynamic profession that requires a blend of traditional financial acumen and modern technological fluency. While the fundamental principles of trust and value creation remain constant, their execution varies significantly by region.</w:t>
      </w:r>
    </w:p>
    <w:p>
      <w:pPr>
        <w:pStyle w:val="BodyText"/>
      </w:pPr>
      <w:r>
        <w:t xml:space="preserve">By examining the specific case of</w:t>
      </w:r>
      <w:r>
        <w:t xml:space="preserve"> </w:t>
      </w:r>
      <w:r>
        <w:rPr>
          <w:bCs/>
          <w:b/>
        </w:rPr>
        <w:t xml:space="preserve">China Guangzhou</w:t>
      </w:r>
      <w:r>
        <w:t xml:space="preserve">, we see how global banking standards are adapted to fit local economic realities. The Banker operating in this vibrant Chinese metropolis must be agile, culturally aware, and technologically savvy. They must serve not just as lenders, but as strategic partners in the growth of the region’s SME sector and drivers of sustainable development.</w:t>
      </w:r>
    </w:p>
    <w:p>
      <w:pPr>
        <w:pStyle w:val="BodyText"/>
      </w:pPr>
      <w:r>
        <w:t xml:space="preserve">Ultimately, the future of banking lies in this intersection: where global best practices meet local innovation. For any student or practitioner looking to understand modern finance, studying how a Banker navigates the complexities of</w:t>
      </w:r>
      <w:r>
        <w:t xml:space="preserve"> </w:t>
      </w:r>
      <w:r>
        <w:rPr>
          <w:bCs/>
          <w:b/>
        </w:rPr>
        <w:t xml:space="preserve">China Guangzhou</w:t>
      </w:r>
      <w:r>
        <w:t xml:space="preserve"> </w:t>
      </w:r>
      <w:r>
        <w:t xml:space="preserve">provides invaluable insights into the future of our global financial system.</w:t>
      </w:r>
    </w:p>
    <w:bookmarkEnd w:id="27"/>
    <w:bookmarkStart w:id="28" w:name="references-and-further-reading"/>
    <w:p>
      <w:pPr>
        <w:pStyle w:val="Heading2"/>
      </w:pPr>
      <w:r>
        <w:t xml:space="preserve">6. References and Further Reading</w:t>
      </w:r>
    </w:p>
    <w:p>
      <w:pPr>
        <w:numPr>
          <w:ilvl w:val="0"/>
          <w:numId w:val="1003"/>
        </w:numPr>
        <w:pStyle w:val="Compact"/>
      </w:pPr>
      <w:r>
        <w:rPr>
          <w:iCs/>
          <w:i/>
        </w:rPr>
        <w:t xml:space="preserve">The Rise and Fall of Banks</w:t>
      </w:r>
      <w:r>
        <w:t xml:space="preserve">, Global Financial Review, 2023.</w:t>
      </w:r>
    </w:p>
    <w:p>
      <w:pPr>
        <w:numPr>
          <w:ilvl w:val="0"/>
          <w:numId w:val="1003"/>
        </w:numPr>
        <w:pStyle w:val="Compact"/>
      </w:pPr>
      <w:r>
        <w:rPr>
          <w:iCs/>
          <w:i/>
        </w:rPr>
        <w:t xml:space="preserve">Digital Transformation in Asian Markets</w:t>
      </w:r>
      <w:r>
        <w:t xml:space="preserve">, Journal of International Banking, Vol 14.</w:t>
      </w:r>
    </w:p>
    <w:p>
      <w:pPr>
        <w:numPr>
          <w:ilvl w:val="0"/>
          <w:numId w:val="1003"/>
        </w:numPr>
        <w:pStyle w:val="Compact"/>
      </w:pPr>
      <w:r>
        <w:t xml:space="preserve">PBoC Reports on Cross-Border Trade in the Greater Bay Area.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Banker in Modern Finance</dc:title>
  <dc:creator/>
  <dc:language>en</dc:language>
  <cp:keywords/>
  <dcterms:created xsi:type="dcterms:W3CDTF">2026-07-29T13:48:29Z</dcterms:created>
  <dcterms:modified xsi:type="dcterms:W3CDTF">2026-07-29T13:48:29Z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