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Germany</w:t>
      </w:r>
      <w:r>
        <w:t xml:space="preserve"> </w:t>
      </w:r>
      <w:r>
        <w:t xml:space="preserve">Frankfurt</w:t>
      </w:r>
    </w:p>
    <w:bookmarkStart w:id="26" w:name="the-modern-banker-in-germany-frankfurt"/>
    <w:p>
      <w:pPr>
        <w:pStyle w:val="Heading1"/>
      </w:pPr>
      <w:r>
        <w:t xml:space="preserve">The Modern Banker in Germany Frankfurt</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Financial Professionals and Academics</w:t>
      </w:r>
      <w:r>
        <w:br/>
      </w:r>
      <w:r>
        <w:rPr>
          <w:bCs/>
          <w:b/>
        </w:rPr>
        <w:t xml:space="preserve">Filing Location:</w:t>
      </w:r>
      <w:r>
        <w:t xml:space="preserve"> </w:t>
      </w:r>
      <w:r>
        <w:t xml:space="preserve">Germany Frankfurt Archival System</w:t>
      </w:r>
    </w:p>
    <w:p>
      <w:pPr>
        <w:pStyle w:val="BodyText"/>
      </w:pPr>
      <w:r>
        <w:t xml:space="preserve">This comprehensive book report analyzes the evolving role, challenges, and strategic imperatives of the contemporary</w:t>
      </w:r>
      <w:r>
        <w:t xml:space="preserve"> </w:t>
      </w:r>
      <w:r>
        <w:rPr>
          <w:iCs/>
          <w:i/>
        </w:rPr>
        <w:t xml:space="preserve">Banker</w:t>
      </w:r>
      <w:r>
        <w:t xml:space="preserve">, with a specific focus on the economic ecosystem of</w:t>
      </w:r>
      <w:r>
        <w:t xml:space="preserve"> </w:t>
      </w:r>
      <w:r>
        <w:rPr>
          <w:iCs/>
          <w:i/>
        </w:rPr>
        <w:t xml:space="preserve">Germany Frankfurt</w:t>
      </w:r>
      <w:r>
        <w:t xml:space="preserve">. As one of Europe’s most significant financial hubs, Frankfurt serves as a critical case study for understanding how traditional banking practices are being reshaped by regulatory pressures, digital transformation, and shifting geopolitical landscapes. The central thesis of this report is that the modern</w:t>
      </w:r>
      <w:r>
        <w:t xml:space="preserve"> </w:t>
      </w:r>
      <w:r>
        <w:rPr>
          <w:iCs/>
          <w:i/>
        </w:rPr>
        <w:t xml:space="preserve">Banker</w:t>
      </w:r>
      <w:r>
        <w:t xml:space="preserve"> </w:t>
      </w:r>
      <w:r>
        <w:t xml:space="preserve">operating in</w:t>
      </w:r>
    </w:p>
    <w:p>
      <w:pPr>
        <w:pStyle w:val="BodyText"/>
      </w:pPr>
      <w:r>
        <w:t xml:space="preserve">Germany Frankfurt</w:t>
      </w:r>
    </w:p>
    <w:bookmarkStart w:id="20" w:name="X4112d9ba8e1f57ab5079172156860f83d8a0380"/>
    <w:p>
      <w:pPr>
        <w:pStyle w:val="Heading2"/>
      </w:pPr>
      <w:r>
        <w:t xml:space="preserve">I. Introduction: The Context of Germany Frankfurt</w:t>
      </w:r>
    </w:p>
    <w:p>
      <w:pPr>
        <w:pStyle w:val="FirstParagraph"/>
      </w:pPr>
      <w:r>
        <w:t xml:space="preserve">To understand the current state of banking, one must first appreciate the unique environment of</w:t>
      </w:r>
      <w:r>
        <w:t xml:space="preserve"> </w:t>
      </w:r>
      <w:hyperlink w:anchor="Xa39a3ee5e6b4b0d3255bfef95601890afd80709">
        <w:r>
          <w:rPr>
            <w:rStyle w:val="Hyperlink"/>
            <w:bCs/>
            <w:b/>
          </w:rPr>
          <w:t xml:space="preserve">Germany Frankfurt</w:t>
        </w:r>
      </w:hyperlink>
      <w:r>
        <w:t xml:space="preserve">. Known locally as "Mainhattan" due to its skyline resembling New York City, Frankfurt is not merely a city; it is the financial heartbeat of continental Europe. It hosts the European Central Bank (ECB) and numerous major domestic and international financial institutions. For any</w:t>
      </w:r>
      <w:r>
        <w:t xml:space="preserve"> </w:t>
      </w:r>
      <w:r>
        <w:rPr>
          <w:iCs/>
          <w:i/>
        </w:rPr>
        <w:t xml:space="preserve">Banker</w:t>
      </w:r>
      <w:r>
        <w:t xml:space="preserve">, the reference to</w:t>
      </w:r>
      <w:r>
        <w:t xml:space="preserve"> </w:t>
      </w:r>
      <w:hyperlink w:anchor="Xa39a3ee5e6b4b0d3255bfef95601890afd80709">
        <w:r>
          <w:rPr>
            <w:rStyle w:val="Hyperlink"/>
            <w:bCs/>
            <w:b/>
          </w:rPr>
          <w:t xml:space="preserve">Germany Frankfurt</w:t>
        </w:r>
      </w:hyperlink>
      <w:r>
        <w:t xml:space="preserve"> </w:t>
      </w:r>
      <w:r>
        <w:t xml:space="preserve">implies a high-stakes environment characterized by rigorous regulatory oversight from BaFin (the Federal Financial Supervisory Authority) and a deep-rooted culture of stability and caution.</w:t>
      </w:r>
    </w:p>
    <w:p>
      <w:pPr>
        <w:pStyle w:val="BodyText"/>
      </w:pPr>
      <w:r>
        <w:t xml:space="preserve">The book under review posits that the identity of the</w:t>
      </w:r>
      <w:r>
        <w:t xml:space="preserve"> </w:t>
      </w:r>
      <w:r>
        <w:rPr>
          <w:iCs/>
          <w:i/>
        </w:rPr>
        <w:t xml:space="preserve">Banker</w:t>
      </w:r>
      <w:r>
        <w:t xml:space="preserve"> </w:t>
      </w:r>
      <w:r>
        <w:t xml:space="preserve">in this specific locale is undergoing an existential crisis. Traditionally, bankers were seen as guardians of capital, operating with discretion and personal relationships. However, in</w:t>
      </w:r>
      <w:r>
        <w:t xml:space="preserve"> </w:t>
      </w:r>
      <w:hyperlink w:anchor="Xa39a3ee5e6b4b0d3255bfef95601890afd80709">
        <w:r>
          <w:rPr>
            <w:rStyle w:val="Hyperlink"/>
            <w:bCs/>
            <w:b/>
          </w:rPr>
          <w:t xml:space="preserve">Germany Frankfurt</w:t>
        </w:r>
      </w:hyperlink>
      <w:r>
        <w:t xml:space="preserve">, the modern</w:t>
      </w:r>
      <w:r>
        <w:t xml:space="preserve"> </w:t>
      </w:r>
      <w:r>
        <w:rPr>
          <w:iCs/>
          <w:i/>
        </w:rPr>
        <w:t xml:space="preserve">Banker</w:t>
      </w:r>
      <w:r>
        <w:t xml:space="preserve"> </w:t>
      </w:r>
      <w:r>
        <w:t xml:space="preserve">is increasingly viewed as a compliance officer first and a financial advisor second. This report explores how this shift impacts professional identity and operational strategies.</w:t>
      </w:r>
    </w:p>
    <w:bookmarkEnd w:id="20"/>
    <w:bookmarkStart w:id="21" w:name="Xf3f0b4e41d79542db7196c68e87bcbcbeac7e74"/>
    <w:p>
      <w:pPr>
        <w:pStyle w:val="Heading2"/>
      </w:pPr>
      <w:r>
        <w:t xml:space="preserve">II. The Transformation of the Banker Role</w:t>
      </w:r>
    </w:p>
    <w:p>
      <w:pPr>
        <w:pStyle w:val="FirstParagraph"/>
      </w:pPr>
      <w:r>
        <w:t xml:space="preserve">A significant portion of the analysis focuses on the definition of a</w:t>
      </w:r>
      <w:r>
        <w:t xml:space="preserve"> </w:t>
      </w:r>
      <w:r>
        <w:rPr>
          <w:iCs/>
          <w:i/>
        </w:rPr>
        <w:t xml:space="preserve">Banker</w:t>
      </w:r>
      <w:r>
        <w:t xml:space="preserve">. In the past, success was measured by deal volume and interest margins. Today, for a</w:t>
      </w:r>
      <w:r>
        <w:t xml:space="preserve"> </w:t>
      </w:r>
      <w:r>
        <w:rPr>
          <w:iCs/>
          <w:i/>
        </w:rPr>
        <w:t xml:space="preserve">Banker</w:t>
      </w:r>
      <w:r>
        <w:t xml:space="preserve">, success is equally defined by risk mitigation and ethical adherence. The book details how professionals in</w:t>
      </w:r>
      <w:r>
        <w:t xml:space="preserve"> </w:t>
      </w:r>
      <w:hyperlink w:anchor="Xa39a3ee5e6b4b0d3255bfef95601890afd80709">
        <w:r>
          <w:rPr>
            <w:rStyle w:val="Hyperlink"/>
            <w:bCs/>
            <w:b/>
          </w:rPr>
          <w:t xml:space="preserve">Germany Frankfurt</w:t>
        </w:r>
      </w:hyperlink>
      <w:r>
        <w:t xml:space="preserve"> </w:t>
      </w:r>
      <w:r>
        <w:t xml:space="preserve">have had to pivot from being aggressive growth drivers to becoming stewards of systemic stability.</w:t>
      </w:r>
    </w:p>
    <w:p>
      <w:pPr>
        <w:pStyle w:val="BodyText"/>
      </w:pPr>
      <w:r>
        <w:t xml:space="preserve">The narrative highlights the tension between innovation and regulation. The modern</w:t>
      </w:r>
      <w:r>
        <w:t xml:space="preserve"> </w:t>
      </w:r>
      <w:r>
        <w:rPr>
          <w:iCs/>
          <w:i/>
        </w:rPr>
        <w:t xml:space="preserve">Banker</w:t>
      </w:r>
      <w:r>
        <w:t xml:space="preserve"> </w:t>
      </w:r>
      <w:r>
        <w:t xml:space="preserve">must possess a dual competency: deep financial acumen coupled with sophisticated technological literacy. This is particularly relevant in</w:t>
      </w:r>
      <w:r>
        <w:t xml:space="preserve"> </w:t>
      </w:r>
      <w:hyperlink w:anchor="Xa39a3ee5e6b4b0d3255bfef95601890afd80709">
        <w:r>
          <w:rPr>
            <w:rStyle w:val="Hyperlink"/>
            <w:bCs/>
            <w:b/>
          </w:rPr>
          <w:t xml:space="preserve">Germany Frankfurt</w:t>
        </w:r>
      </w:hyperlink>
      <w:r>
        <w:t xml:space="preserve">, where the legacy infrastructure of traditional banks intersects with the agile demands of fintech startups. The book argues that a</w:t>
      </w:r>
      <w:r>
        <w:t xml:space="preserve"> </w:t>
      </w:r>
      <w:r>
        <w:rPr>
          <w:iCs/>
          <w:i/>
        </w:rPr>
        <w:t xml:space="preserve">Banker</w:t>
      </w:r>
      <w:r>
        <w:t xml:space="preserve"> </w:t>
      </w:r>
      <w:r>
        <w:t xml:space="preserve">who fails to embrace digital integration risks obsolescence, yet one who embraces it too rapidly without understanding regulatory frameworks invites severe penalties.</w:t>
      </w:r>
    </w:p>
    <w:bookmarkEnd w:id="21"/>
    <w:bookmarkStart w:id="22" w:name="Xd5ec8b294b930230dc5e44ca1caa87a5d5e578f"/>
    <w:p>
      <w:pPr>
        <w:pStyle w:val="Heading2"/>
      </w:pPr>
      <w:r>
        <w:t xml:space="preserve">III. Regulatory Landscapes in Germany Frankfurt</w:t>
      </w:r>
    </w:p>
    <w:p>
      <w:pPr>
        <w:pStyle w:val="FirstParagraph"/>
      </w:pPr>
      <w:r>
        <w:t xml:space="preserve">The chapter detailing the regulatory environment is perhaps the most critical for any reader interested in</w:t>
      </w:r>
      <w:r>
        <w:t xml:space="preserve"> </w:t>
      </w:r>
      <w:hyperlink w:anchor="Xa39a3ee5e6b4b0d3255bfef95601890afd80709">
        <w:r>
          <w:rPr>
            <w:rStyle w:val="Hyperlink"/>
            <w:bCs/>
            <w:b/>
          </w:rPr>
          <w:t xml:space="preserve">Germany Frankfurt</w:t>
        </w:r>
      </w:hyperlink>
      <w:r>
        <w:t xml:space="preserve">. The text emphasizes that compliance is not a department but a culture. For every</w:t>
      </w:r>
      <w:r>
        <w:t xml:space="preserve"> </w:t>
      </w:r>
      <w:r>
        <w:rPr>
          <w:iCs/>
          <w:i/>
        </w:rPr>
        <w:t xml:space="preserve">Banker</w:t>
      </w:r>
      <w:r>
        <w:t xml:space="preserve">, understanding the intricacies of Basel III regulations, GDPR data privacy laws, and local German banking traditions is non-negotiable.</w:t>
      </w:r>
    </w:p>
    <w:p>
      <w:pPr>
        <w:pStyle w:val="BodyText"/>
      </w:pPr>
      <w:r>
        <w:t xml:space="preserve">The report notes that in</w:t>
      </w:r>
      <w:r>
        <w:t xml:space="preserve"> </w:t>
      </w:r>
      <w:hyperlink w:anchor="Xa39a3ee5e6b4b0d3255bfef95601890afd80709">
        <w:r>
          <w:rPr>
            <w:rStyle w:val="Hyperlink"/>
            <w:bCs/>
            <w:b/>
          </w:rPr>
          <w:t xml:space="preserve">Germany Frankfurt</w:t>
        </w:r>
      </w:hyperlink>
      <w:r>
        <w:t xml:space="preserve">, the relationship between state and market is distinct. Unlike the more laissez-faire approaches seen in other global hubs,</w:t>
      </w:r>
      <w:r>
        <w:t xml:space="preserve"> </w:t>
      </w:r>
      <w:hyperlink w:anchor="Xa39a3ee5e6b4b0d3255bfef95601890afd80709">
        <w:r>
          <w:rPr>
            <w:rStyle w:val="Hyperlink"/>
            <w:bCs/>
            <w:b/>
          </w:rPr>
          <w:t xml:space="preserve">Germany Frankfurt</w:t>
        </w:r>
      </w:hyperlink>
      <w:r>
        <w:t xml:space="preserve"> </w:t>
      </w:r>
      <w:r>
        <w:t xml:space="preserve">demands a level of corporate social responsibility that aligns with broader European Union goals. Consequently, the role of the</w:t>
      </w:r>
      <w:r>
        <w:t xml:space="preserve"> </w:t>
      </w:r>
      <w:r>
        <w:rPr>
          <w:iCs/>
          <w:i/>
        </w:rPr>
        <w:t xml:space="preserve">Banker</w:t>
      </w:r>
      <w:r>
        <w:t xml:space="preserve"> </w:t>
      </w:r>
      <w:r>
        <w:t xml:space="preserve">has expanded to include ESG (Environmental, Social, and Governance) integration. A</w:t>
      </w:r>
      <w:r>
        <w:t xml:space="preserve"> </w:t>
      </w:r>
      <w:r>
        <w:rPr>
          <w:iCs/>
          <w:i/>
        </w:rPr>
        <w:t xml:space="preserve">Banker</w:t>
      </w:r>
      <w:r>
        <w:t xml:space="preserve"> </w:t>
      </w:r>
      <w:r>
        <w:t xml:space="preserve">is now expected to evaluate not just the financial viability of a loan but its carbon footprint and social impact.</w:t>
      </w:r>
    </w:p>
    <w:bookmarkEnd w:id="22"/>
    <w:bookmarkStart w:id="23" w:name="X871a4ba9d182658ad9c60735d8f922bbe1bea49"/>
    <w:p>
      <w:pPr>
        <w:pStyle w:val="Heading2"/>
      </w:pPr>
      <w:r>
        <w:t xml:space="preserve">IV. The Impact of Technology on Banking Professionals</w:t>
      </w:r>
    </w:p>
    <w:p>
      <w:pPr>
        <w:pStyle w:val="FirstParagraph"/>
      </w:pPr>
      <w:r>
        <w:t xml:space="preserve">The book provides an extensive examination of how technology is redefining the daily activities of a</w:t>
      </w:r>
      <w:r>
        <w:t xml:space="preserve"> </w:t>
      </w:r>
      <w:r>
        <w:rPr>
          <w:iCs/>
          <w:i/>
        </w:rPr>
        <w:t xml:space="preserve">Banker</w:t>
      </w:r>
      <w:r>
        <w:t xml:space="preserve">. In</w:t>
      </w:r>
      <w:r>
        <w:t xml:space="preserve"> </w:t>
      </w:r>
      <w:hyperlink w:anchor="Xa39a3ee5e6b4b0d3255bfef95601890afd80709">
        <w:r>
          <w:rPr>
            <w:rStyle w:val="Hyperlink"/>
            <w:bCs/>
            <w:b/>
          </w:rPr>
          <w:t xml:space="preserve">Germany Frankfurt</w:t>
        </w:r>
      </w:hyperlink>
      <w:r>
        <w:t xml:space="preserve">, the adoption of Artificial Intelligence (AI) and Blockchain technologies is accelerating. The text argues that these tools are augmenting, rather than replacing, the human element of banking.</w:t>
      </w:r>
    </w:p>
    <w:p>
      <w:pPr>
        <w:pStyle w:val="BodyText"/>
      </w:pPr>
      <w:r>
        <w:t xml:space="preserve">For instance, algorithmic trading and automated risk assessment allow a</w:t>
      </w:r>
      <w:r>
        <w:t xml:space="preserve"> </w:t>
      </w:r>
      <w:r>
        <w:rPr>
          <w:iCs/>
          <w:i/>
        </w:rPr>
        <w:t xml:space="preserve">Banker</w:t>
      </w:r>
      <w:r>
        <w:t xml:space="preserve"> </w:t>
      </w:r>
      <w:r>
        <w:t xml:space="preserve">to process data with unprecedented speed. However, the nuanced judgment required for complex corporate lending decisions still relies on human intuition—a trait that distinguishes a true</w:t>
      </w:r>
      <w:r>
        <w:t xml:space="preserve"> </w:t>
      </w:r>
      <w:r>
        <w:rPr>
          <w:iCs/>
          <w:i/>
        </w:rPr>
        <w:t xml:space="preserve">Banker</w:t>
      </w:r>
      <w:r>
        <w:t xml:space="preserve">. The report suggests that the most successful professionals in</w:t>
      </w:r>
      <w:r>
        <w:t xml:space="preserve"> </w:t>
      </w:r>
      <w:hyperlink w:anchor="Xa39a3ee5e6b4b0d3255bfef95601890afd80709">
        <w:r>
          <w:rPr>
            <w:rStyle w:val="Hyperlink"/>
            <w:bCs/>
            <w:b/>
          </w:rPr>
          <w:t xml:space="preserve">Germany Frankfurt</w:t>
        </w:r>
      </w:hyperlink>
      <w:r>
        <w:t xml:space="preserve"> </w:t>
      </w:r>
      <w:r>
        <w:t xml:space="preserve">are those who can bridge the gap between code and capital, leveraging technology to enhance their advisory capabilities without losing the personal touch that German banking culture values.</w:t>
      </w:r>
    </w:p>
    <w:bookmarkEnd w:id="23"/>
    <w:bookmarkStart w:id="24" w:name="v.-future-outlook-for-germany-frankfurt"/>
    <w:p>
      <w:pPr>
        <w:pStyle w:val="Heading2"/>
      </w:pPr>
      <w:r>
        <w:t xml:space="preserve">V. Future Outlook for Germany Frankfurt</w:t>
      </w:r>
    </w:p>
    <w:p>
      <w:pPr>
        <w:pStyle w:val="FirstParagraph"/>
      </w:pPr>
      <w:hyperlink w:anchor="Xa39a3ee5e6b4b0d3255bfef95601890afd80709">
        <w:r>
          <w:rPr>
            <w:rStyle w:val="Hyperlink"/>
          </w:rPr>
          <w:t xml:space="preserve">Germany Frankfurt</w:t>
        </w:r>
      </w:hyperlink>
      <w:r>
        <w:t xml:space="preserve">. As smaller regional banks struggle to meet compliance costs, larger institutions will dominate. This trend will force every</w:t>
      </w:r>
      <w:r>
        <w:t xml:space="preserve"> </w:t>
      </w:r>
      <w:r>
        <w:rPr>
          <w:iCs/>
          <w:i/>
        </w:rPr>
        <w:t xml:space="preserve">Banker</w:t>
      </w:r>
      <w:r>
        <w:t xml:space="preserve"> </w:t>
      </w:r>
      <w:r>
        <w:t xml:space="preserve">to specialize further. Generalists may find fewer opportunities, while specialists in areas like green finance, cyber-risk management, and cross-border regulatory compliance will become highly sought after.</w:t>
      </w:r>
    </w:p>
    <w:p>
      <w:pPr>
        <w:pStyle w:val="BodyText"/>
      </w:pPr>
      <w:r>
        <w:t xml:space="preserve">The report also touches upon the geopolitical implications for</w:t>
      </w:r>
      <w:r>
        <w:t xml:space="preserve"> </w:t>
      </w:r>
      <w:hyperlink w:anchor="Xa39a3ee5e6b4b0d3255bfef95601890afd80709">
        <w:r>
          <w:rPr>
            <w:rStyle w:val="Hyperlink"/>
            <w:bCs/>
            <w:b/>
          </w:rPr>
          <w:t xml:space="preserve">Germany Frankfurt</w:t>
        </w:r>
      </w:hyperlink>
      <w:r>
        <w:t xml:space="preserve">. With Brexit having moved many financial operations out of London to continental hubs, Frankfurt has seen an influx of talent. The modern</w:t>
      </w:r>
      <w:r>
        <w:t xml:space="preserve"> </w:t>
      </w:r>
      <w:r>
        <w:rPr>
          <w:iCs/>
          <w:i/>
        </w:rPr>
        <w:t xml:space="preserve">Banker</w:t>
      </w:r>
      <w:r>
        <w:t xml:space="preserve"> </w:t>
      </w:r>
      <w:r>
        <w:t xml:space="preserve">in this city must be culturally adaptable and multilingual. The book concludes that the ability to navigate diverse European markets is a key competency for any aspiring</w:t>
      </w:r>
      <w:r>
        <w:t xml:space="preserve"> </w:t>
      </w:r>
      <w:r>
        <w:rPr>
          <w:iCs/>
          <w:i/>
        </w:rPr>
        <w:t xml:space="preserve">Banker</w:t>
      </w:r>
      <w:r>
        <w:t xml:space="preserve">.</w:t>
      </w:r>
    </w:p>
    <w:bookmarkEnd w:id="24"/>
    <w:bookmarkStart w:id="25" w:name="vi.-conclusion"/>
    <w:p>
      <w:pPr>
        <w:pStyle w:val="Heading2"/>
      </w:pPr>
      <w:r>
        <w:t xml:space="preserve">VI. Conclusion</w:t>
      </w:r>
    </w:p>
    <w:p>
      <w:pPr>
        <w:pStyle w:val="FirstParagraph"/>
      </w:pPr>
      <w:r>
        <w:t xml:space="preserve">In summary, this book report underscores that the profession of a</w:t>
      </w:r>
      <w:r>
        <w:t xml:space="preserve"> </w:t>
      </w:r>
      <w:r>
        <w:rPr>
          <w:iCs/>
          <w:i/>
        </w:rPr>
        <w:t xml:space="preserve">Banker</w:t>
      </w:r>
      <w:r>
        <w:t xml:space="preserve">, particularly within the dynamic and regulated environment of</w:t>
      </w:r>
      <w:r>
        <w:t xml:space="preserve"> </w:t>
      </w:r>
      <w:hyperlink w:anchor="Xa39a3ee5e6b4b0d3255bfef95601890afd80709">
        <w:r>
          <w:rPr>
            <w:rStyle w:val="Hyperlink"/>
            <w:bCs/>
            <w:b/>
          </w:rPr>
          <w:t xml:space="preserve">Germany Frankfurt</w:t>
        </w:r>
      </w:hyperlink>
      <w:r>
        <w:t xml:space="preserve">, is at a pivotal juncture. It is no longer sufficient to possess financial knowledge alone. The contemporary</w:t>
      </w:r>
      <w:r>
        <w:t xml:space="preserve"> </w:t>
      </w:r>
      <w:r>
        <w:rPr>
          <w:iCs/>
          <w:i/>
        </w:rPr>
        <w:t xml:space="preserve">Banker</w:t>
      </w:r>
      <w:r>
        <w:t xml:space="preserve"> </w:t>
      </w:r>
      <w:r>
        <w:t xml:space="preserve">must be a hybrid professional: part technologist, part ethicist, and part strategic advisor.</w:t>
      </w:r>
    </w:p>
    <w:p>
      <w:pPr>
        <w:pStyle w:val="BodyText"/>
      </w:pPr>
      <w:r>
        <w:t xml:space="preserve">The references to</w:t>
      </w:r>
      <w:r>
        <w:t xml:space="preserve"> </w:t>
      </w:r>
      <w:hyperlink w:anchor="Xa39a3ee5e6b4b0d3255bfef95601890afd80709">
        <w:r>
          <w:rPr>
            <w:rStyle w:val="Hyperlink"/>
            <w:bCs/>
            <w:b/>
          </w:rPr>
          <w:t xml:space="preserve">Germany Frankfurt</w:t>
        </w:r>
      </w:hyperlink>
      <w:r>
        <w:t xml:space="preserve"> </w:t>
      </w:r>
      <w:r>
        <w:t xml:space="preserve">throughout the text serve as a reminder that local context dictates global best practices. The stability, regulatory rigor, and international connectivity of this city shape the trajectory of modern banking. For students, practitioners, and policymakers alike, understanding these dynamics is essential. The</w:t>
      </w:r>
      <w:r>
        <w:t xml:space="preserve"> </w:t>
      </w:r>
      <w:r>
        <w:rPr>
          <w:iCs/>
          <w:i/>
        </w:rPr>
        <w:t xml:space="preserve">Banker</w:t>
      </w:r>
      <w:r>
        <w:t xml:space="preserve"> </w:t>
      </w:r>
      <w:r>
        <w:t xml:space="preserve">of tomorrow in</w:t>
      </w:r>
      <w:r>
        <w:t xml:space="preserve"> </w:t>
      </w:r>
      <w:hyperlink w:anchor="Xa39a3ee5e6b4b0d3255bfef95601890afd80709">
        <w:r>
          <w:rPr>
            <w:rStyle w:val="Hyperlink"/>
            <w:bCs/>
            <w:b/>
          </w:rPr>
          <w:t xml:space="preserve">Germany Frankfurt</w:t>
        </w:r>
      </w:hyperlink>
      <w:r>
        <w:t xml:space="preserve"> </w:t>
      </w:r>
      <w:r>
        <w:t xml:space="preserve">will be defined not just by their balance sheets, but by their ability to navigate complexity with integrity and innovation.</w:t>
      </w:r>
    </w:p>
    <w:p>
      <w:pPr>
        <w:pStyle w:val="BodyText"/>
      </w:pPr>
      <w:r>
        <w:t xml:space="preserve">This document serves as a testament to the enduring relevance of banking in</w:t>
      </w:r>
      <w:r>
        <w:t xml:space="preserve"> </w:t>
      </w:r>
      <w:hyperlink w:anchor="Xa39a3ee5e6b4b0d3255bfef95601890afd80709">
        <w:r>
          <w:rPr>
            <w:rStyle w:val="Hyperlink"/>
            <w:bCs/>
            <w:b/>
          </w:rPr>
          <w:t xml:space="preserve">Germany Frankfurt</w:t>
        </w:r>
      </w:hyperlink>
      <w:r>
        <w:t xml:space="preserve">, provided that the</w:t>
      </w:r>
      <w:r>
        <w:t xml:space="preserve"> </w:t>
      </w:r>
      <w:r>
        <w:rPr>
          <w:iCs/>
          <w:i/>
        </w:rPr>
        <w:t xml:space="preserve">Banker</w:t>
      </w:r>
      <w:r>
        <w:t xml:space="preserve"> </w:t>
      </w:r>
      <w:r>
        <w:t xml:space="preserve">remains adaptable to the changing winds of technology, regulation, and societal expectation.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Banker in Germany Frankfurt</dc:title>
  <dc:creator/>
  <dc:language>en</dc:language>
  <cp:keywords/>
  <dcterms:created xsi:type="dcterms:W3CDTF">2026-07-30T06:17:18Z</dcterms:created>
  <dcterms:modified xsi:type="dcterms:W3CDTF">2026-07-30T06:17:18Z</dcterms:modified>
</cp:coreProperties>
</file>

<file path=docProps/custom.xml><?xml version="1.0" encoding="utf-8"?>
<Properties xmlns="http://schemas.openxmlformats.org/officeDocument/2006/custom-properties" xmlns:vt="http://schemas.openxmlformats.org/officeDocument/2006/docPropsVTypes"/>
</file>