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and</w:t>
      </w:r>
      <w:r>
        <w:t xml:space="preserve"> </w:t>
      </w:r>
      <w:r>
        <w:t xml:space="preserve">Its</w:t>
      </w:r>
      <w:r>
        <w:t xml:space="preserve"> </w:t>
      </w:r>
      <w:r>
        <w:t xml:space="preserve">Implications</w:t>
      </w:r>
      <w:r>
        <w:t xml:space="preserve"> </w:t>
      </w:r>
      <w:r>
        <w:t xml:space="preserve">for</w:t>
      </w:r>
      <w:r>
        <w:t xml:space="preserve"> </w:t>
      </w:r>
      <w:r>
        <w:t xml:space="preserve">Financial</w:t>
      </w:r>
      <w:r>
        <w:t xml:space="preserve"> </w:t>
      </w:r>
      <w:r>
        <w:t xml:space="preserve">Systems</w:t>
      </w:r>
      <w:r>
        <w:t xml:space="preserve"> </w:t>
      </w:r>
      <w:r>
        <w:t xml:space="preserve">in</w:t>
      </w:r>
      <w:r>
        <w:t xml:space="preserve"> </w:t>
      </w:r>
      <w:r>
        <w:t xml:space="preserve">Iran,</w:t>
      </w:r>
      <w:r>
        <w:t xml:space="preserve"> </w:t>
      </w:r>
      <w:r>
        <w:t xml:space="preserve">Tehran</w:t>
      </w:r>
    </w:p>
    <w:bookmarkStart w:id="28" w:name="X33005f066f3b10c5d5af20a1062d32767f76cb1"/>
    <w:p>
      <w:pPr>
        <w:pStyle w:val="Heading1"/>
      </w:pPr>
      <w:r>
        <w:t xml:space="preserve">Book Report on "The Banker": A Critical Analysis for the Context of Iran, Tehran</w:t>
      </w:r>
    </w:p>
    <w:p>
      <w:pPr>
        <w:pStyle w:val="FirstParagraph"/>
      </w:pPr>
      <w:r>
        <w:rPr>
          <w:bCs/>
          <w:b/>
        </w:rPr>
        <w:t xml:space="preserve">Title:</w:t>
      </w:r>
      <w:r>
        <w:br/>
      </w:r>
      <w:r>
        <w:t xml:space="preserve">The Book: "The Banker: Escape from Germany to the US as a Jewish Refugee" by Peter Temin (Note: Assuming reference to general biographical narratives of bankers during crisis, or specifically "The Banker" by John Steele Gordon regarding J.P. Morgan, or potentially a metaphorical analysis of banking ethics. For this report, we will focus on the archetypal narrative of "The Banker" as presented in standard financial literature like John Steele Gordon's work, adapted critically to the geopolitical and economic reality of</w:t>
      </w:r>
      <w:r>
        <w:t xml:space="preserve"> </w:t>
      </w:r>
      <w:r>
        <w:rPr>
          <w:bCs/>
          <w:b/>
        </w:rPr>
        <w:t xml:space="preserve">Iran</w:t>
      </w:r>
      <w:r>
        <w:t xml:space="preserve"> </w:t>
      </w:r>
      <w:r>
        <w:t xml:space="preserve">in</w:t>
      </w:r>
      <w:r>
        <w:t xml:space="preserve"> </w:t>
      </w:r>
      <w:r>
        <w:rPr>
          <w:bCs/>
          <w:b/>
        </w:rPr>
        <w:t xml:space="preserve">Tehran</w:t>
      </w:r>
      <w:r>
        <w:t xml:space="preserve">.)</w:t>
      </w:r>
      <w:r>
        <w:br/>
      </w:r>
      <w:r>
        <w:br/>
      </w:r>
      <w:r>
        <w:rPr>
          <w:iCs/>
          <w:i/>
        </w:rPr>
        <w:t xml:space="preserve">Note: Given the ambiguity of a single global bestseller titled merely "The Banker" that is universally standardized for Iranian context without specific author citation, this report synthesizes the thematic elements of major banking biographies (such as those involving J.P. Morgan or Lloyd Blankfein) and applies them to the unique socio-economic landscape of Iran, specifically Tehran.</w:t>
      </w:r>
    </w:p>
    <w:bookmarkStart w:id="20" w:name="introduction"/>
    <w:p>
      <w:pPr>
        <w:pStyle w:val="Heading2"/>
      </w:pPr>
      <w:r>
        <w:t xml:space="preserve">1. Introduction</w:t>
      </w:r>
    </w:p>
    <w:p>
      <w:pPr>
        <w:pStyle w:val="FirstParagraph"/>
      </w:pPr>
      <w:r>
        <w:t xml:space="preserve">The role of the banker extends far beyond the mere management of capital; it represents a pillar of societal stability, trust, and economic sovereignty. This book report examines the archetypal figure and literature surrounding "The Banker," exploring themes of integrity, crisis management, and strategic foresight. However, this analysis is uniquely adapted to reflect the specific conditions faced in</w:t>
      </w:r>
      <w:r>
        <w:t xml:space="preserve"> </w:t>
      </w:r>
      <w:r>
        <w:rPr>
          <w:bCs/>
          <w:b/>
        </w:rPr>
        <w:t xml:space="preserve">Iran</w:t>
      </w:r>
      <w:r>
        <w:t xml:space="preserve">, with a particular focus on its capital city,</w:t>
      </w:r>
      <w:r>
        <w:t xml:space="preserve"> </w:t>
      </w:r>
      <w:r>
        <w:rPr>
          <w:bCs/>
          <w:b/>
        </w:rPr>
        <w:t xml:space="preserve">Tehran</w:t>
      </w:r>
      <w:r>
        <w:t xml:space="preserve">. In a region characterized by complex geopolitical tensions, sanctions regimes, and a dual financial system involving both conventional and Islamic banking principles, understanding the core tenets of banking ethics and strategy is not merely an academic exercise but a practical necessity.</w:t>
      </w:r>
    </w:p>
    <w:bookmarkEnd w:id="20"/>
    <w:bookmarkStart w:id="21" w:name="Xde6d3504abe07041918fc115e9ffd8b6cc5116b"/>
    <w:p>
      <w:pPr>
        <w:pStyle w:val="Heading2"/>
      </w:pPr>
      <w:r>
        <w:t xml:space="preserve">2. Summary of "The Banker" Archetype in Literature</w:t>
      </w:r>
    </w:p>
    <w:p>
      <w:pPr>
        <w:pStyle w:val="FirstParagraph"/>
      </w:pPr>
      <w:r>
        <w:t xml:space="preserve">In most prominent literary works titled or centered around "The Banker," the protagonist is often depicted as a figure who must navigate between moral integrity and profit maximization. Whether it is J.P. Morgan’s intervention during the Panic of 1907 or the modern complexities described in contemporary financial thrillers, "The Banker" emerges as a steward of confidence. The narrative typically highlights three critical aspects:</w:t>
      </w:r>
    </w:p>
    <w:p>
      <w:pPr>
        <w:numPr>
          <w:ilvl w:val="0"/>
          <w:numId w:val="1001"/>
        </w:numPr>
        <w:pStyle w:val="Compact"/>
      </w:pPr>
      <w:r>
        <w:rPr>
          <w:bCs/>
          <w:b/>
        </w:rPr>
        <w:t xml:space="preserve">Crisis Management:</w:t>
      </w:r>
      <w:r>
        <w:t xml:space="preserve"> </w:t>
      </w:r>
      <w:r>
        <w:t xml:space="preserve">The ability to remain calm and decisive when markets are volatile.</w:t>
      </w:r>
    </w:p>
    <w:p>
      <w:pPr>
        <w:numPr>
          <w:ilvl w:val="0"/>
          <w:numId w:val="1001"/>
        </w:numPr>
        <w:pStyle w:val="Compact"/>
      </w:pPr>
      <w:r>
        <w:rPr>
          <w:bCs/>
          <w:b/>
        </w:rPr>
        <w:t xml:space="preserve">Ethical Governance:</w:t>
      </w:r>
      <w:r>
        <w:t xml:space="preserve"> </w:t>
      </w:r>
      <w:r>
        <w:t xml:space="preserve">The balance between shareholder value and societal responsibility.</w:t>
      </w:r>
    </w:p>
    <w:p>
      <w:pPr>
        <w:numPr>
          <w:ilvl w:val="0"/>
          <w:numId w:val="1001"/>
        </w:numPr>
        <w:pStyle w:val="Compact"/>
      </w:pPr>
      <w:r>
        <w:rPr>
          <w:bCs/>
          <w:b/>
        </w:rPr>
        <w:t xml:space="preserve">Innovation under Constraint:</w:t>
      </w:r>
      <w:r>
        <w:t xml:space="preserve"> </w:t>
      </w:r>
      <w:r>
        <w:t xml:space="preserve">Developing financial instruments that serve real economic needs while adhering to regulatory frameworks.</w:t>
      </w:r>
    </w:p>
    <w:bookmarkEnd w:id="21"/>
    <w:bookmarkStart w:id="24" w:name="Xd7530564a1014c161c05b245cc95e36b4e29bba"/>
    <w:p>
      <w:pPr>
        <w:pStyle w:val="Heading2"/>
      </w:pPr>
      <w:r>
        <w:t xml:space="preserve">3. Contextual Application: The Banking Landscape in Iran, Tehran</w:t>
      </w:r>
    </w:p>
    <w:p>
      <w:pPr>
        <w:pStyle w:val="FirstParagraph"/>
      </w:pPr>
      <w:r>
        <w:t xml:space="preserve">To fully appreciate the lessons from "The Banker" literature, one must apply them to the ground reality of</w:t>
      </w:r>
      <w:r>
        <w:t xml:space="preserve"> </w:t>
      </w:r>
      <w:r>
        <w:rPr>
          <w:bCs/>
          <w:b/>
        </w:rPr>
        <w:t xml:space="preserve">Iran</w:t>
      </w:r>
      <w:r>
        <w:t xml:space="preserve">. The Islamic Republic of Iran operates under a unique financial paradigm where conventional interest-based (Riba) transactions are prohibited according to Sharia law. Consequently, banks in Tehran operate on profit-and-loss sharing (PLS) models such as Mudarabah and Musharakah, alongside cost-plus financing structures like Murabaha.</w:t>
      </w:r>
    </w:p>
    <w:bookmarkStart w:id="22" w:name="X8f8ffdda8db6afe933d80272df5c4d4fea0477e"/>
    <w:p>
      <w:pPr>
        <w:pStyle w:val="Heading3"/>
      </w:pPr>
      <w:r>
        <w:t xml:space="preserve">3.1 The Unique Challenges of Tehran’s Financial Sector</w:t>
      </w:r>
    </w:p>
    <w:p>
      <w:pPr>
        <w:pStyle w:val="FirstParagraph"/>
      </w:pPr>
      <w:r>
        <w:t xml:space="preserve">In</w:t>
      </w:r>
      <w:r>
        <w:t xml:space="preserve"> </w:t>
      </w:r>
      <w:r>
        <w:rPr>
          <w:bCs/>
          <w:b/>
        </w:rPr>
        <w:t xml:space="preserve">Tehran</w:t>
      </w:r>
      <w:r>
        <w:t xml:space="preserve">, the central hub of Iran's economic activity, bankers face challenges that are distinct from their Western counterparts. The primary differentiator is the impact of international sanctions. These sanctions have isolated Iranian banks from the global SWIFT system and restricted access to foreign currencies. Therefore, "The Banker" in this context must possess skills in alternative trade finance, barter systems, and regional currency swaps (particularly with partners like China, Russia, and India).</w:t>
      </w:r>
    </w:p>
    <w:bookmarkEnd w:id="22"/>
    <w:bookmarkStart w:id="23" w:name="bridging-tradition-and-modernity"/>
    <w:p>
      <w:pPr>
        <w:pStyle w:val="Heading3"/>
      </w:pPr>
      <w:r>
        <w:t xml:space="preserve">3.2 Bridging Tradition and Modernity</w:t>
      </w:r>
    </w:p>
    <w:p>
      <w:pPr>
        <w:pStyle w:val="FirstParagraph"/>
      </w:pPr>
      <w:r>
        <w:t xml:space="preserve">The literature on "The Banker" often emphasizes innovation. In Iran, this innovation is constrained by religious law but driven by technological necessity. Tehran’s banking sector has seen a rapid rise in fintech adoption to bypass physical infrastructure limitations imposed by sanctions. The modern banker in Tehran must be not only a financial expert but also a tech-savvy navigator who can leverage digital currencies and blockchain technology within the bounds of Islamic jurisprudence.</w:t>
      </w:r>
    </w:p>
    <w:bookmarkEnd w:id="23"/>
    <w:bookmarkEnd w:id="24"/>
    <w:bookmarkStart w:id="25" w:name="Xe18c9e9327488c62401f5da4c0932432c4e601c"/>
    <w:p>
      <w:pPr>
        <w:pStyle w:val="Heading2"/>
      </w:pPr>
      <w:r>
        <w:t xml:space="preserve">4. Critical Analysis: Lessons for Iranian Banking</w:t>
      </w:r>
    </w:p>
    <w:p>
      <w:pPr>
        <w:pStyle w:val="FirstParagraph"/>
      </w:pPr>
      <w:r>
        <w:t xml:space="preserve">The core message of "The Banker" narratives is that trust is the currency of finance. In</w:t>
      </w:r>
      <w:r>
        <w:t xml:space="preserve"> </w:t>
      </w:r>
      <w:r>
        <w:rPr>
          <w:bCs/>
          <w:b/>
        </w:rPr>
        <w:t xml:space="preserve">Iran</w:t>
      </w:r>
      <w:r>
        <w:t xml:space="preserve">, where inflation has historically been high and economic volatility frequent, maintaining public trust in local banks is paramount. The report argues that the ethical frameworks discussed in standard banking literature are directly applicable to Tehran’s financial institutions.</w:t>
      </w:r>
    </w:p>
    <w:p>
      <w:pPr>
        <w:pStyle w:val="BodyText"/>
      </w:pPr>
      <w:r>
        <w:t xml:space="preserve">For instance, the theme of "Stewardship" from Western banking biographies translates directly to the Islamic concept of *Amanah* (trustworthiness). Iranian bankers in Tehran must prioritize transparency and accountability not just for regulatory compliance, but as a moral imperative rooted in both Islamic ethics and global banking standards. Furthermore, the crisis management skills highlighted in "The Banker" literature are essential for navigating the sudden fluctuations in the Rial's value against hard currencies.</w:t>
      </w:r>
    </w:p>
    <w:bookmarkEnd w:id="25"/>
    <w:bookmarkStart w:id="26" w:name="X6f1d1200f40e4fadda1c2d53c9d0d01f71591f0"/>
    <w:p>
      <w:pPr>
        <w:pStyle w:val="Heading2"/>
      </w:pPr>
      <w:r>
        <w:t xml:space="preserve">5. Strategic Recommendations for Stakeholders in Tehran</w:t>
      </w:r>
    </w:p>
    <w:p>
      <w:pPr>
        <w:pStyle w:val="FirstParagraph"/>
      </w:pPr>
      <w:r>
        <w:t xml:space="preserve">Based on the synthesis of "The Banker" literary themes and local realities, several recommendations emerge:</w:t>
      </w:r>
    </w:p>
    <w:p>
      <w:pPr>
        <w:numPr>
          <w:ilvl w:val="0"/>
          <w:numId w:val="1002"/>
        </w:numPr>
        <w:pStyle w:val="Compact"/>
      </w:pPr>
      <w:r>
        <w:rPr>
          <w:bCs/>
          <w:b/>
        </w:rPr>
        <w:t xml:space="preserve">Diversification of Trade Partnerships:</w:t>
      </w:r>
      <w:r>
        <w:t xml:space="preserve"> </w:t>
      </w:r>
      <w:r>
        <w:t xml:space="preserve">Tehran-based banks should emulate the global networking strategies found in international banking literature, focusing heavily on non-Western markets to mitigate sanction risks.</w:t>
      </w:r>
    </w:p>
    <w:p>
      <w:pPr>
        <w:numPr>
          <w:ilvl w:val="0"/>
          <w:numId w:val="1002"/>
        </w:numPr>
        <w:pStyle w:val="Compact"/>
      </w:pPr>
      <w:r>
        <w:rPr>
          <w:bCs/>
          <w:b/>
        </w:rPr>
        <w:t xml:space="preserve">Education and Training:</w:t>
      </w:r>
      <w:r>
        <w:t xml:space="preserve"> </w:t>
      </w:r>
      <w:r>
        <w:t xml:space="preserve">There is a need for rigorous training programs in</w:t>
      </w:r>
      <w:r>
        <w:t xml:space="preserve"> </w:t>
      </w:r>
      <w:r>
        <w:rPr>
          <w:bCs/>
          <w:b/>
        </w:rPr>
        <w:t xml:space="preserve">Tehran</w:t>
      </w:r>
      <w:r>
        <w:t xml:space="preserve"> </w:t>
      </w:r>
      <w:r>
        <w:t xml:space="preserve">that combine traditional Islamic finance principles with modern risk management techniques derived from global best practices.</w:t>
      </w:r>
    </w:p>
    <w:p>
      <w:pPr>
        <w:numPr>
          <w:ilvl w:val="0"/>
          <w:numId w:val="1002"/>
        </w:numPr>
        <w:pStyle w:val="Compact"/>
      </w:pPr>
      <w:r>
        <w:rPr>
          <w:bCs/>
          <w:b/>
        </w:rPr>
        <w:t xml:space="preserve">Digital Resilience:</w:t>
      </w:r>
      <w:r>
        <w:t xml:space="preserve"> </w:t>
      </w:r>
      <w:r>
        <w:t xml:space="preserve">Investing in secure, domestic digital payment systems to ensure continuity of financial services despite potential external disruptions to international networks.</w:t>
      </w:r>
    </w:p>
    <w:bookmarkEnd w:id="26"/>
    <w:bookmarkStart w:id="27" w:name="conclusion"/>
    <w:p>
      <w:pPr>
        <w:pStyle w:val="Heading2"/>
      </w:pPr>
      <w:r>
        <w:t xml:space="preserve">6. Conclusion</w:t>
      </w:r>
    </w:p>
    <w:p>
      <w:pPr>
        <w:pStyle w:val="FirstParagraph"/>
      </w:pPr>
      <w:r>
        <w:t xml:space="preserve">This book report on "The Banker" serves as a bridge between universal financial principles and the specific socio-political context of</w:t>
      </w:r>
      <w:r>
        <w:t xml:space="preserve"> </w:t>
      </w:r>
      <w:r>
        <w:rPr>
          <w:bCs/>
          <w:b/>
        </w:rPr>
        <w:t xml:space="preserve">Iran</w:t>
      </w:r>
      <w:r>
        <w:t xml:space="preserve">. It demonstrates that while the tools and constraints in</w:t>
      </w:r>
      <w:r>
        <w:t xml:space="preserve"> </w:t>
      </w:r>
      <w:r>
        <w:rPr>
          <w:bCs/>
          <w:b/>
        </w:rPr>
        <w:t xml:space="preserve">Tehran</w:t>
      </w:r>
      <w:r>
        <w:t xml:space="preserve"> </w:t>
      </w:r>
      <w:r>
        <w:t xml:space="preserve">are unique, the fundamental requirements of banking—trust, ethics, innovation, and crisis management—are universal. By adapting the lessons learned from global banking literature to fit Iran’s Islamic economic framework and geopolitical reality, bankers in Tehran can foster greater stability and growth. The "Banker" in this context is not just a manager of money but a guardian of national economic sovereignty.</w:t>
      </w:r>
    </w:p>
    <w:p>
      <w:r>
        <w:pict>
          <v:rect style="width:0;height:1.5pt" o:hralign="center" o:hrstd="t" o:hr="t"/>
        </w:pict>
      </w:r>
    </w:p>
    <w:p>
      <w:pPr>
        <w:pStyle w:val="FirstParagraph"/>
      </w:pPr>
      <w:r>
        <w:rPr>
          <w:iCs/>
          <w:i/>
        </w:rPr>
        <w:t xml:space="preserve">This report was prepared for academic and professional review within the financial sector of Iran, emphasizing local relevance while maintaining global theoretical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and Its Implications for Financial Systems in Iran, Tehran</dc:title>
  <dc:creator/>
  <cp:keywords/>
  <dcterms:created xsi:type="dcterms:W3CDTF">2026-07-29T08:19:13Z</dcterms:created>
  <dcterms:modified xsi:type="dcterms:W3CDTF">2026-07-29T08:19:13Z</dcterms:modified>
</cp:coreProperties>
</file>

<file path=docProps/custom.xml><?xml version="1.0" encoding="utf-8"?>
<Properties xmlns="http://schemas.openxmlformats.org/officeDocument/2006/custom-properties" xmlns:vt="http://schemas.openxmlformats.org/officeDocument/2006/docPropsVTypes"/>
</file>