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Identity</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Italy</w:t>
      </w:r>
      <w:r>
        <w:t xml:space="preserve"> </w:t>
      </w:r>
      <w:r>
        <w:t xml:space="preserve">Rome</w:t>
      </w:r>
    </w:p>
    <w:bookmarkStart w:id="25" w:name="X5f9d78ff1bd0a5044aaf879cd77b07dbc6f2ff9"/>
    <w:p>
      <w:pPr>
        <w:pStyle w:val="Heading1"/>
      </w:pPr>
      <w:r>
        <w:t xml:space="preserve">The Professional Identity of a Banker in Italy Rome: A Comprehensive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Education Department, Rome Branch</w:t>
      </w:r>
      <w:r>
        <w:br/>
      </w:r>
      <w:r>
        <w:rPr>
          <w:bCs/>
          <w:b/>
        </w:rPr>
        <w:t xml:space="preserve">From:</w:t>
      </w:r>
      <w:r>
        <w:t xml:space="preserve"> </w:t>
      </w:r>
      <w:r>
        <w:t xml:space="preserve">Senior Analyst Team</w:t>
      </w:r>
      <w:r>
        <w:br/>
      </w:r>
      <w:r>
        <w:rPr>
          <w:bCs/>
          <w:b/>
        </w:rPr>
        <w:t xml:space="preserve">Subject:</w:t>
      </w:r>
    </w:p>
    <w:p>
      <w:pPr>
        <w:pStyle w:val="BodyText"/>
      </w:pPr>
      <w:r>
        <w:t xml:space="preserve">In the intricate tapestry of European finance, few cities command as much historical gravity and contemporary economic influence as Rome. However, when discussing the role of a</w:t>
      </w:r>
      <w:r>
        <w:t xml:space="preserve"> </w:t>
      </w:r>
      <w:r>
        <w:rPr>
          <w:bCs/>
          <w:b/>
        </w:rPr>
        <w:t xml:space="preserve">Banker</w:t>
      </w:r>
      <w:r>
        <w:t xml:space="preserve">, one must look beyond mere transactional efficiency and delve into the cultural, legal, and relational frameworks that define financial practice in this specific locale. This</w:t>
      </w:r>
      <w:r>
        <w:t xml:space="preserve"> </w:t>
      </w:r>
      <w:r>
        <w:rPr>
          <w:bCs/>
          <w:b/>
        </w:rPr>
        <w:t xml:space="preserve">Book Report</w:t>
      </w:r>
      <w:r>
        <w:t xml:space="preserve"> </w:t>
      </w:r>
      <w:r>
        <w:t xml:space="preserve">serves to analyze how a modern professional operating within the heart of Italy’s capital navigates these complexities. It is not enough to simply understand balance sheets; one must understand that being a</w:t>
      </w:r>
      <w:r>
        <w:t xml:space="preserve"> </w:t>
      </w:r>
      <w:r>
        <w:rPr>
          <w:bCs/>
          <w:b/>
        </w:rPr>
        <w:t xml:space="preserve">Banker</w:t>
      </w:r>
      <w:r>
        <w:t xml:space="preserve"> </w:t>
      </w:r>
      <w:r>
        <w:t xml:space="preserve">in</w:t>
      </w:r>
    </w:p>
    <w:p>
      <w:pPr>
        <w:pStyle w:val="BodyText"/>
      </w:pPr>
      <w:r>
        <w:t xml:space="preserve">Rome, Italy, requires a nuanced mastery of human capital as much as financial capital.</w:t>
      </w:r>
    </w:p>
    <w:bookmarkStart w:id="20" w:name="Xc230268e3121dbe6e59fad9ec2f234791cdca38"/>
    <w:p>
      <w:pPr>
        <w:pStyle w:val="Heading2"/>
      </w:pPr>
      <w:r>
        <w:t xml:space="preserve">The Historical Context and Cultural Weight</w:t>
      </w:r>
    </w:p>
    <w:p>
      <w:pPr>
        <w:pStyle w:val="FirstParagraph"/>
      </w:pPr>
      <w:r>
        <w:t xml:space="preserve">To comprehend the modern role of the</w:t>
      </w:r>
      <w:r>
        <w:t xml:space="preserve"> </w:t>
      </w:r>
      <w:r>
        <w:rPr>
          <w:bCs/>
          <w:b/>
        </w:rPr>
        <w:t xml:space="preserve">Banker</w:t>
      </w:r>
      <w:r>
        <w:t xml:space="preserve">, one must first acknowledge the historical backdrop of Rome. As the ancient center of trade and currency, Rome carries centuries of financial tradition in its stone streets. For a contemporary professional, this history is not merely academic; it is a living reality that influences client expectations. In many other global financial hubs like New York or London, transactions are often faster, more digitalized, and less personal. In contrast, the practice of banking in</w:t>
      </w:r>
      <w:r>
        <w:t xml:space="preserve"> </w:t>
      </w:r>
      <w:r>
        <w:rPr>
          <w:bCs/>
          <w:b/>
        </w:rPr>
        <w:t xml:space="preserve">Italy</w:t>
      </w:r>
      <w:r>
        <w:t xml:space="preserve"> </w:t>
      </w:r>
      <w:r>
        <w:t xml:space="preserve">remains deeply rooted in relationship-based models. A</w:t>
      </w:r>
      <w:r>
        <w:t xml:space="preserve"> </w:t>
      </w:r>
      <w:r>
        <w:rPr>
          <w:bCs/>
          <w:b/>
        </w:rPr>
        <w:t xml:space="preserve">Banker</w:t>
      </w:r>
      <w:r>
        <w:t xml:space="preserve"> </w:t>
      </w:r>
      <w:r>
        <w:t xml:space="preserve">here is not just a service provider but a trusted advisor who integrates into the client’s family business lineage or personal legacy.</w:t>
      </w:r>
    </w:p>
    <w:p>
      <w:pPr>
        <w:pStyle w:val="BodyText"/>
      </w:pPr>
      <w:r>
        <w:t xml:space="preserve">This report highlights that the cultural weight of being a financial institution in Rome means that reputation is paramount. In</w:t>
      </w:r>
      <w:r>
        <w:t xml:space="preserve"> </w:t>
      </w:r>
      <w:r>
        <w:rPr>
          <w:bCs/>
          <w:b/>
        </w:rPr>
        <w:t xml:space="preserve">Rome, Italy</w:t>
      </w:r>
      <w:r>
        <w:t xml:space="preserve">, word travels swiftly through social and professional networks. A mistake by a</w:t>
      </w:r>
      <w:r>
        <w:t xml:space="preserve"> </w:t>
      </w:r>
      <w:r>
        <w:rPr>
          <w:bCs/>
          <w:b/>
        </w:rPr>
        <w:t xml:space="preserve">Banker</w:t>
      </w:r>
      <w:r>
        <w:t xml:space="preserve"> </w:t>
      </w:r>
      <w:r>
        <w:t xml:space="preserve">can have reputational consequences that far outweigh the immediate financial loss. Therefore, this analysis suggests that emotional intelligence and cultural sensitivity are not soft skills but critical competencies for any financial professional operating in this region.</w:t>
      </w:r>
    </w:p>
    <w:bookmarkEnd w:id="20"/>
    <w:bookmarkStart w:id="21" w:name="X48d2b2ca75abdaaece935679308c68c0d3eff58"/>
    <w:p>
      <w:pPr>
        <w:pStyle w:val="Heading2"/>
      </w:pPr>
      <w:r>
        <w:t xml:space="preserve">The Regulatory Landscape: Navigating Italian Compliance</w:t>
      </w:r>
    </w:p>
    <w:p>
      <w:pPr>
        <w:pStyle w:val="FirstParagraph"/>
      </w:pPr>
      <w:r>
        <w:t xml:space="preserve">A significant portion of this study focuses on the regulatory environment unique to</w:t>
      </w:r>
      <w:r>
        <w:t xml:space="preserve"> </w:t>
      </w:r>
      <w:r>
        <w:rPr>
          <w:bCs/>
          <w:b/>
        </w:rPr>
        <w:t xml:space="preserve">Italy</w:t>
      </w:r>
      <w:r>
        <w:t xml:space="preserve">. The Italian banking sector is heavily regulated by the Bank of Italy (Banca d'Italia) and subject to European Union directives. For a</w:t>
      </w:r>
    </w:p>
    <w:p>
      <w:pPr>
        <w:pStyle w:val="BodyText"/>
      </w:pPr>
      <w:r>
        <w:t xml:space="preserve">Banker, compliance is not an afterthought; it is the foundation of daily operations. This book report emphasizes that understanding Anti-Money Laundering (AML) laws, Know Your Customer (KYC) protocols, and MiFID II regulations is essential for maintaining legitimacy.</w:t>
      </w:r>
    </w:p>
    <w:p>
      <w:pPr>
        <w:pStyle w:val="BodyText"/>
      </w:pPr>
      <w:r>
        <w:t xml:space="preserve">However, the challenge in</w:t>
      </w:r>
      <w:r>
        <w:t xml:space="preserve"> </w:t>
      </w:r>
      <w:r>
        <w:rPr>
          <w:bCs/>
          <w:b/>
        </w:rPr>
        <w:t xml:space="preserve">Rome</w:t>
      </w:r>
      <w:r>
        <w:t xml:space="preserve"> </w:t>
      </w:r>
      <w:r>
        <w:t xml:space="preserve">specifically lies in interpreting these rigid European rules within a local context. Clients may often view extensive due diligence as an invasion of privacy or a lack of trust. A proficient</w:t>
      </w:r>
    </w:p>
    <w:p>
      <w:pPr>
        <w:pStyle w:val="BodyText"/>
      </w:pPr>
      <w:r>
        <w:t xml:space="preserve">Banker must therefore excel at communication, explaining regulatory necessities without alienating the client. This balancing act is unique to the Italian market, where legal compliance must be woven seamlessly into polite and respectful service delivery.</w:t>
      </w:r>
    </w:p>
    <w:bookmarkEnd w:id="21"/>
    <w:bookmarkStart w:id="22" w:name="X35aeba4bced8be6585511ffeff51ce7bfccec7c"/>
    <w:p>
      <w:pPr>
        <w:pStyle w:val="Heading2"/>
      </w:pPr>
      <w:r>
        <w:t xml:space="preserve">The Economic Role: SMEs and Family Businesses</w:t>
      </w:r>
    </w:p>
    <w:p>
      <w:pPr>
        <w:pStyle w:val="FirstParagraph"/>
      </w:pPr>
      <w:r>
        <w:t xml:space="preserve">One of the most critical findings in this analysis is the central role that Small and Medium-sized Enterprises (SMEs) play in the economy of</w:t>
      </w:r>
      <w:r>
        <w:t xml:space="preserve"> </w:t>
      </w:r>
      <w:r>
        <w:rPr>
          <w:bCs/>
          <w:b/>
        </w:rPr>
        <w:t xml:space="preserve">Rome, Italy</w:t>
      </w:r>
      <w:r>
        <w:t xml:space="preserve">. Unlike markets dominated by multinational conglomerates, Rome’s economic engine is fueled by family-owned businesses, artisanal enterprises, and boutique service providers. Consequently, a</w:t>
      </w:r>
    </w:p>
    <w:p>
      <w:pPr>
        <w:pStyle w:val="BodyText"/>
      </w:pPr>
      <w:r>
        <w:t xml:space="preserve">Banker in this city spends a significant amount of time structuring loans for entities that may lack sophisticated financial records.</w:t>
      </w:r>
    </w:p>
    <w:p>
      <w:pPr>
        <w:pStyle w:val="BodyText"/>
      </w:pPr>
      <w:r>
        <w:t xml:space="preserve">This requires the</w:t>
      </w:r>
      <w:r>
        <w:t xml:space="preserve"> </w:t>
      </w:r>
      <w:r>
        <w:rPr>
          <w:bCs/>
          <w:b/>
        </w:rPr>
        <w:t xml:space="preserve">Banker</w:t>
      </w:r>
      <w:r>
        <w:t xml:space="preserve"> </w:t>
      </w:r>
      <w:r>
        <w:t xml:space="preserve">to be part accountant, part psychologist, and part strategist. They must evaluate creditworthiness not just through digital metrics but through personal relationships and local market knowledge. This report argues that the ability to "read" a business beyond its balance sheet is a hallmark of successful banking in Rome. The</w:t>
      </w:r>
      <w:r>
        <w:t xml:space="preserve"> </w:t>
      </w:r>
      <w:r>
        <w:rPr>
          <w:bCs/>
          <w:b/>
        </w:rPr>
        <w:t xml:space="preserve">Banker</w:t>
      </w:r>
      <w:r>
        <w:t xml:space="preserve"> </w:t>
      </w:r>
      <w:r>
        <w:t xml:space="preserve">acts as a bridge between traditional Italian entrepreneurship and modern financial tools, ensuring that local businesses can compete in a globalized economy.</w:t>
      </w:r>
    </w:p>
    <w:bookmarkEnd w:id="22"/>
    <w:bookmarkStart w:id="23" w:name="Xa2dc88f28bd51f0d00ffa5a5aa2da61f418b070"/>
    <w:p>
      <w:pPr>
        <w:pStyle w:val="Heading2"/>
      </w:pPr>
      <w:r>
        <w:t xml:space="preserve">Technology vs. Tradition: The Digital Transformation</w:t>
      </w:r>
    </w:p>
    <w:p>
      <w:pPr>
        <w:pStyle w:val="FirstParagraph"/>
      </w:pPr>
      <w:r>
        <w:t xml:space="preserve">The final section of this book report addresses the tension between technology and tradition. While digital banking platforms are growing globally, adoption in</w:t>
      </w:r>
      <w:r>
        <w:t xml:space="preserve"> </w:t>
      </w:r>
      <w:r>
        <w:rPr>
          <w:bCs/>
          <w:b/>
        </w:rPr>
        <w:t xml:space="preserve">Rome</w:t>
      </w:r>
      <w:r>
        <w:t xml:space="preserve"> </w:t>
      </w:r>
      <w:r>
        <w:t xml:space="preserve">has been more gradual compared to Northern European counterparts. Many clients still prefer face-to-face interactions for significant financial decisions. However, this does not mean that a modern</w:t>
      </w:r>
    </w:p>
    <w:p>
      <w:pPr>
        <w:pStyle w:val="BodyText"/>
      </w:pPr>
      <w:r>
        <w:t xml:space="preserve">Banker can ignore technological advancements.</w:t>
      </w:r>
    </w:p>
    <w:p>
      <w:pPr>
        <w:pStyle w:val="BodyText"/>
      </w:pPr>
      <w:r>
        <w:t xml:space="preserve">The ideal profile of a</w:t>
      </w:r>
    </w:p>
    <w:p>
      <w:pPr>
        <w:pStyle w:val="BodyText"/>
      </w:pPr>
      <w:r>
        <w:t xml:space="preserve">Banker in Italy is one who leverages technology to enhance efficiency but uses human interaction to build trust. Digital tools allow for faster processing and better data analysis, freeing up time for the</w:t>
      </w:r>
      <w:r>
        <w:t xml:space="preserve"> </w:t>
      </w:r>
      <w:r>
        <w:rPr>
          <w:bCs/>
          <w:b/>
        </w:rPr>
        <w:t xml:space="preserve">Banker</w:t>
      </w:r>
      <w:r>
        <w:t xml:space="preserve"> </w:t>
      </w:r>
      <w:r>
        <w:t xml:space="preserve">to engage in high-value advisory roles. This hybrid approach is essential for survival and growth in the current market. The report concludes that resistance to digital transformation leads to obsolescence, while uncritical adoption risks losing the personal touch that defines Italian service culture.</w:t>
      </w:r>
    </w:p>
    <w:bookmarkEnd w:id="23"/>
    <w:bookmarkStart w:id="24" w:name="conclusion-the-future-of-banking-in-rome"/>
    <w:p>
      <w:pPr>
        <w:pStyle w:val="Heading2"/>
      </w:pPr>
      <w:r>
        <w:t xml:space="preserve">Conclusion: The Future of Banking in Rome</w:t>
      </w:r>
    </w:p>
    <w:p>
      <w:pPr>
        <w:pStyle w:val="FirstParagraph"/>
      </w:pPr>
      <w:r>
        <w:t xml:space="preserve">In conclusion, this</w:t>
      </w:r>
      <w:r>
        <w:t xml:space="preserve"> </w:t>
      </w:r>
      <w:r>
        <w:rPr>
          <w:bCs/>
          <w:b/>
        </w:rPr>
        <w:t xml:space="preserve">Book Report</w:t>
      </w:r>
      <w:r>
        <w:t xml:space="preserve">&lt; strong &gt; underscores that being a</w:t>
      </w:r>
    </w:p>
    <w:p>
      <w:pPr>
        <w:pStyle w:val="BodyText"/>
      </w:pPr>
      <w:r>
        <w:t xml:space="preserve">Banker in</w:t>
      </w:r>
    </w:p>
    <w:p>
      <w:pPr>
        <w:pStyle w:val="BodyText"/>
      </w:pPr>
      <w:r>
        <w:t xml:space="preserve">Rome, Italy, is a multifaceted profession that demands more than technical financial knowledge. It requires a deep understanding of cultural nuances, strict adherence to complex regulatory frameworks, and the ability to support the local SME ecosystem through personalized service.</w:t>
      </w:r>
    </w:p>
    <w:p>
      <w:pPr>
        <w:pStyle w:val="BodyText"/>
      </w:pPr>
      <w:r>
        <w:t xml:space="preserve">The future of banking in Rome lies in harmonizing these elements. As global markets become increasingly interconnected, the</w:t>
      </w:r>
      <w:r>
        <w:t xml:space="preserve"> </w:t>
      </w:r>
      <w:r>
        <w:rPr>
          <w:bCs/>
          <w:b/>
        </w:rPr>
        <w:t xml:space="preserve">Banker</w:t>
      </w:r>
      <w:r>
        <w:t xml:space="preserve"> </w:t>
      </w:r>
      <w:r>
        <w:t xml:space="preserve">must remain steadfastly rooted in local trust while expanding their horizons through digital innovation. For professionals entering this field, the advice is clear: respect the history, master the regulations, value the relationship, and embrace technology not as a replacement for human connection, but as its enabler.</w:t>
      </w:r>
    </w:p>
    <w:p>
      <w:pPr>
        <w:pStyle w:val="BodyText"/>
      </w:pPr>
      <w:r>
        <w:t xml:space="preserve">This document serves as a foundational guide for understanding these dynamics. By recognizing the specific challenges and opportunities present in</w:t>
      </w:r>
      <w:r>
        <w:t xml:space="preserve"> </w:t>
      </w:r>
      <w:r>
        <w:rPr>
          <w:bCs/>
          <w:b/>
        </w:rPr>
        <w:t xml:space="preserve">Rome</w:t>
      </w:r>
      <w:r>
        <w:t xml:space="preserve">, financial institutions can better equip their staff to serve clients effectively. The role of the</w:t>
      </w:r>
    </w:p>
    <w:p>
      <w:pPr>
        <w:pStyle w:val="BodyText"/>
      </w:pPr>
      <w:r>
        <w:t xml:space="preserve">Banker remains vital, not just as a custodian of wealth, but as a guardian of economic stability and cultural continuity in one of Europe’s most historic cities.</w:t>
      </w:r>
    </w:p>
    <w:p>
      <w:r>
        <w:pict>
          <v:rect style="width:0;height:1.5pt" o:hralign="center" o:hrstd="t" o:hr="t"/>
        </w:pict>
      </w:r>
    </w:p>
    <w:p>
      <w:pPr>
        <w:pStyle w:val="FirstParagraph"/>
      </w:pPr>
      <w:r>
        <w:rPr>
          <w:iCs/>
          <w:i/>
        </w:rPr>
        <w:t xml:space="preserve">Note: This report is intended for internal educational purposes and strategic planning within the Rome branch operations.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Identity of a Banker in Italy Rome</dc:title>
  <dc:creator/>
  <dc:language>en</dc:language>
  <cp:keywords/>
  <dcterms:created xsi:type="dcterms:W3CDTF">2026-07-29T16:14:51Z</dcterms:created>
  <dcterms:modified xsi:type="dcterms:W3CDTF">2026-07-29T16:14:51Z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