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Kuwait</w:t>
      </w:r>
      <w:r>
        <w:t xml:space="preserve"> </w:t>
      </w:r>
      <w:r>
        <w:t xml:space="preserve">City</w:t>
      </w:r>
    </w:p>
    <w:bookmarkStart w:id="29" w:name="Xcdbed84c6ba08a17f5c26477a806878aba3c484"/>
    <w:p>
      <w:pPr>
        <w:pStyle w:val="Heading1"/>
      </w:pPr>
      <w:r>
        <w:t xml:space="preserve">Book Report: The Evolution and Impact of the Banker</w:t>
      </w:r>
    </w:p>
    <w:p>
      <w:pPr>
        <w:pStyle w:val="FirstParagraph"/>
      </w:pPr>
      <w:r>
        <w:t xml:space="preserve">Prepared for: Academic Review</w:t>
      </w:r>
      <w:r>
        <w:br/>
      </w:r>
      <w:r>
        <w:t xml:space="preserve">Subject: Financial History and Middle Eastern Economic Development</w:t>
      </w:r>
      <w:r>
        <w:br/>
      </w:r>
      <w:r>
        <w:t xml:space="preserve">Location Focus: Kuwait City, State of Kuwait</w:t>
      </w:r>
    </w:p>
    <w:bookmarkStart w:id="20" w:name="i.-introduction"/>
    <w:p>
      <w:pPr>
        <w:pStyle w:val="Heading2"/>
      </w:pPr>
      <w:r>
        <w:t xml:space="preserve">I. Introduction</w:t>
      </w:r>
    </w:p>
    <w:p>
      <w:pPr>
        <w:pStyle w:val="FirstParagraph"/>
      </w:pPr>
      <w:r>
        <w:t xml:space="preserve">The figure of the banker has long been a central archetype in economic literature, representing the intersection of trust, capital allocation, and societal stability. This book report analyzes the historical trajectory and modern implications of the profession known as "Banker," with a specific geographical focus on</w:t>
      </w:r>
      <w:r>
        <w:t xml:space="preserve"> </w:t>
      </w:r>
      <w:r>
        <w:rPr>
          <w:bCs/>
          <w:b/>
        </w:rPr>
        <w:t xml:space="preserve">Kuwait City</w:t>
      </w:r>
      <w:r>
        <w:t xml:space="preserve">. While traditional narratives often place banking in London or New York, this report argues that Kuwait City has emerged as a critical node in the global financial architecture, particularly within the Islamic finance sector. By examining the evolution from traditional pearl diving economies to modern financial hubs, we can understand how the role of the</w:t>
      </w:r>
      <w:r>
        <w:t xml:space="preserve"> </w:t>
      </w:r>
      <w:r>
        <w:rPr>
          <w:bCs/>
          <w:b/>
        </w:rPr>
        <w:t xml:space="preserve">Banker</w:t>
      </w:r>
      <w:r>
        <w:t xml:space="preserve"> </w:t>
      </w:r>
      <w:r>
        <w:t xml:space="preserve">in</w:t>
      </w:r>
      <w:r>
        <w:t xml:space="preserve"> </w:t>
      </w:r>
      <w:r>
        <w:rPr>
          <w:bCs/>
          <w:b/>
        </w:rPr>
        <w:t xml:space="preserve">Kuwait City</w:t>
      </w:r>
      <w:r>
        <w:t xml:space="preserve"> </w:t>
      </w:r>
      <w:r>
        <w:t xml:space="preserve">differs significantly from Western counterparts. This document explores key themes such as regulatory frameworks, cultural nuances in finance, and the strategic position of Kuwait within the Gulf Cooperation Council (GCC) economic landscape.</w:t>
      </w:r>
    </w:p>
    <w:bookmarkEnd w:id="20"/>
    <w:bookmarkStart w:id="21" w:name="Xecbbc34462b7a7197d844479f6b47a84029cd57"/>
    <w:p>
      <w:pPr>
        <w:pStyle w:val="Heading2"/>
      </w:pPr>
      <w:r>
        <w:t xml:space="preserve">II. Historical Context: From Pearls to Paper</w:t>
      </w:r>
    </w:p>
    <w:p>
      <w:pPr>
        <w:pStyle w:val="FirstParagraph"/>
      </w:pPr>
      <w:r>
        <w:t xml:space="preserve">To understand the modern</w:t>
      </w:r>
      <w:r>
        <w:t xml:space="preserve"> </w:t>
      </w:r>
      <w:r>
        <w:rPr>
          <w:bCs/>
          <w:b/>
        </w:rPr>
        <w:t xml:space="preserve">Banker</w:t>
      </w:r>
      <w:r>
        <w:t xml:space="preserve">, one must first look at the pre-oil economy of Kuwait. For centuries, merchants in what is now</w:t>
      </w:r>
      <w:r>
        <w:t xml:space="preserve"> </w:t>
      </w:r>
      <w:r>
        <w:rPr>
          <w:bCs/>
          <w:b/>
        </w:rPr>
        <w:t xml:space="preserve">Kuwait City</w:t>
      </w:r>
      <w:r>
        <w:t xml:space="preserve"> </w:t>
      </w:r>
      <w:r>
        <w:t xml:space="preserve">operated on systems of trust and informal credit networks essential for financing pearl diving expeditions. This era laid the foundational DNA for banking in the region: a reliance on kinship, reputation, and long-term relationship building rather than purely algorithmic risk assessment.</w:t>
      </w:r>
      <w:r>
        <w:t xml:space="preserve"> </w:t>
      </w:r>
      <w:r>
        <w:t xml:space="preserve">The discovery of oil fundamentally transformed these informal networks into formalized institutions. The establishment of the Kuwait Finance House in 1977 marked a pivotal moment for the</w:t>
      </w:r>
      <w:r>
        <w:t xml:space="preserve"> </w:t>
      </w:r>
      <w:r>
        <w:rPr>
          <w:bCs/>
          <w:b/>
        </w:rPr>
        <w:t xml:space="preserve">Banker</w:t>
      </w:r>
      <w:r>
        <w:t xml:space="preserve"> </w:t>
      </w:r>
      <w:r>
        <w:t xml:space="preserve">in this region. Unlike Western banks that initially struggled with Sharia compliance, early Kuwaiti financial pioneers designed their institutions from the ground up to be Islamic-compliant. This distinction is crucial for any analysis of banking in</w:t>
      </w:r>
      <w:r>
        <w:t xml:space="preserve"> </w:t>
      </w:r>
      <w:r>
        <w:rPr>
          <w:bCs/>
          <w:b/>
        </w:rPr>
        <w:t xml:space="preserve">Kuwait City</w:t>
      </w:r>
      <w:r>
        <w:t xml:space="preserve">. The local banker did not merely adapt global standards; they contributed to defining a parallel financial system that has since gained global prominence. The transition from state-controlled monetary policy, managed by the Kuwaiti Ministry of Finance, to a more liberalized market environment allowed private banks to flourish, creating a dynamic ecosystem in the capital.</w:t>
      </w:r>
    </w:p>
    <w:bookmarkEnd w:id="21"/>
    <w:bookmarkStart w:id="24" w:name="Xd80b0633611e499044dfdd269398ae6ae110606"/>
    <w:p>
      <w:pPr>
        <w:pStyle w:val="Heading2"/>
      </w:pPr>
      <w:r>
        <w:t xml:space="preserve">III. The Modern Role of the Banker in Kuwait City</w:t>
      </w:r>
    </w:p>
    <w:p>
      <w:pPr>
        <w:pStyle w:val="FirstParagraph"/>
      </w:pPr>
      <w:r>
        <w:t xml:space="preserve">In contemporary</w:t>
      </w:r>
      <w:r>
        <w:t xml:space="preserve"> </w:t>
      </w:r>
      <w:r>
        <w:rPr>
          <w:bCs/>
          <w:b/>
        </w:rPr>
        <w:t xml:space="preserve">Kuwait City</w:t>
      </w:r>
      <w:r>
        <w:t xml:space="preserve">, the role of the</w:t>
      </w:r>
      <w:r>
        <w:t xml:space="preserve"> </w:t>
      </w:r>
      <w:r>
        <w:rPr>
          <w:bCs/>
          <w:b/>
        </w:rPr>
        <w:t xml:space="preserve">Banker</w:t>
      </w:r>
      <w:r>
        <w:t xml:space="preserve"> </w:t>
      </w:r>
      <w:r>
        <w:t xml:space="preserve">is complex and multifaceted. It is no longer sufficient to be merely a custodian of deposits. Today, bankers in this jurisdiction serve as strategic advisors to both government entities and private enterprises navigating an increasingly volatile global market.</w:t>
      </w:r>
    </w:p>
    <w:bookmarkStart w:id="22" w:name="a.-islamic-finance-leadership"/>
    <w:p>
      <w:pPr>
        <w:pStyle w:val="Heading3"/>
      </w:pPr>
      <w:r>
        <w:t xml:space="preserve">A. Islamic Finance Leadership</w:t>
      </w:r>
    </w:p>
    <w:p>
      <w:pPr>
        <w:pStyle w:val="FirstParagraph"/>
      </w:pPr>
      <w:r>
        <w:t xml:space="preserve">Kuwait City is widely recognized as a pioneer in Islamic finance. The modern</w:t>
      </w:r>
      <w:r>
        <w:t xml:space="preserve"> </w:t>
      </w:r>
      <w:r>
        <w:rPr>
          <w:bCs/>
          <w:b/>
        </w:rPr>
        <w:t xml:space="preserve">Banker</w:t>
      </w:r>
      <w:r>
        <w:t xml:space="preserve"> </w:t>
      </w:r>
      <w:r>
        <w:t xml:space="preserve">here must possess dual expertise: traditional financial modeling and deep theological understanding of Sharia law. This requires a nuanced approach to product development, ensuring that instruments such as Murabaha (cost-plus financing) and Ijara (leasing) are not only compliant but competitive against conventional Western banking products. The book highlights how Kuwaiti bankers have successfully exported these models to Europe and Southeast Asia, challenging the hegemony of London in Islamic financial services. This export-oriented strategy has positioned</w:t>
      </w:r>
      <w:r>
        <w:t xml:space="preserve"> </w:t>
      </w:r>
      <w:r>
        <w:rPr>
          <w:bCs/>
          <w:b/>
        </w:rPr>
        <w:t xml:space="preserve">Kuwait City</w:t>
      </w:r>
      <w:r>
        <w:t xml:space="preserve"> </w:t>
      </w:r>
      <w:r>
        <w:t xml:space="preserve">as a testing ground for innovative fintech solutions that respect ethical banking principles.</w:t>
      </w:r>
    </w:p>
    <w:bookmarkEnd w:id="22"/>
    <w:bookmarkStart w:id="23" w:name="b.-digital-transformation-and-fintech"/>
    <w:p>
      <w:pPr>
        <w:pStyle w:val="Heading3"/>
      </w:pPr>
      <w:r>
        <w:t xml:space="preserve">B. Digital Transformation and Fintech</w:t>
      </w:r>
    </w:p>
    <w:p>
      <w:pPr>
        <w:pStyle w:val="FirstParagraph"/>
      </w:pPr>
      <w:r>
        <w:t xml:space="preserve">Despite its traditional roots, Kuwait is aggressively pursuing digital transformation. The book notes that young professionals in</w:t>
      </w:r>
      <w:r>
        <w:t xml:space="preserve"> </w:t>
      </w:r>
      <w:r>
        <w:rPr>
          <w:bCs/>
          <w:b/>
        </w:rPr>
        <w:t xml:space="preserve">Kuwait City</w:t>
      </w:r>
      <w:r>
        <w:t xml:space="preserve"> </w:t>
      </w:r>
      <w:r>
        <w:t xml:space="preserve">are increasingly adopting mobile banking platforms, forcing incumbent banks to innovate rapidly. The modern banker must now be a technologist as much as a financier. Regulatory sandboxes established by the Central Bank of Kuwait have encouraged collaboration between traditional banks and fintech startups. This synergy is reshaping the job description of the</w:t>
      </w:r>
      <w:r>
        <w:t xml:space="preserve"> </w:t>
      </w:r>
      <w:r>
        <w:rPr>
          <w:bCs/>
          <w:b/>
        </w:rPr>
        <w:t xml:space="preserve">Banker</w:t>
      </w:r>
      <w:r>
        <w:t xml:space="preserve">, requiring skills in data analytics, cybersecurity, and user experience design alongside core financial competencies.</w:t>
      </w:r>
    </w:p>
    <w:bookmarkEnd w:id="23"/>
    <w:bookmarkEnd w:id="24"/>
    <w:bookmarkStart w:id="25" w:name="X792facd34d1712e0a07ff20d662f870255f9fb5"/>
    <w:p>
      <w:pPr>
        <w:pStyle w:val="Heading2"/>
      </w:pPr>
      <w:r>
        <w:t xml:space="preserve">IV. Challenges and Regulatory Environment</w:t>
      </w:r>
    </w:p>
    <w:p>
      <w:pPr>
        <w:pStyle w:val="FirstParagraph"/>
      </w:pPr>
      <w:r>
        <w:t xml:space="preserve">Operating as a</w:t>
      </w:r>
      <w:r>
        <w:t xml:space="preserve"> </w:t>
      </w:r>
      <w:r>
        <w:rPr>
          <w:bCs/>
          <w:b/>
        </w:rPr>
        <w:t xml:space="preserve">Banker</w:t>
      </w:r>
      <w:r>
        <w:t xml:space="preserve"> </w:t>
      </w:r>
      <w:r>
        <w:t xml:space="preserve">in Kuwait is not without significant challenges. The regulatory environment in</w:t>
      </w:r>
      <w:r>
        <w:t xml:space="preserve"> </w:t>
      </w:r>
      <w:r>
        <w:rPr>
          <w:bCs/>
          <w:b/>
        </w:rPr>
        <w:t xml:space="preserve">Kuwait City</w:t>
      </w:r>
      <w:r>
        <w:t xml:space="preserve"> </w:t>
      </w:r>
      <w:r>
        <w:t xml:space="preserve">is characterized by a tension between legislative intent and parliamentary oversight. While the Central Bank of Kuwait provides robust supervision, the National Assembly often intervenes in banking legislation, leading to periods of regulatory uncertainty. For instance, delays in passing anti-money laundering (AML) updates have occasionally strained relations with international correspondent banks.</w:t>
      </w:r>
      <w:r>
        <w:t xml:space="preserve"> </w:t>
      </w:r>
      <w:r>
        <w:t xml:space="preserve">Furthermore, the reliance on oil revenues means that the economic health of banks in</w:t>
      </w:r>
      <w:r>
        <w:t xml:space="preserve"> </w:t>
      </w:r>
      <w:r>
        <w:rPr>
          <w:bCs/>
          <w:b/>
        </w:rPr>
        <w:t xml:space="preserve">Kuwait City</w:t>
      </w:r>
      <w:r>
        <w:t xml:space="preserve"> </w:t>
      </w:r>
      <w:r>
        <w:t xml:space="preserve">is closely tied to global oil prices. When oil markets slump, credit growth slows down, and non-performing loans can rise. Bankers must therefore possess a high degree of geopolitical acumen, understanding how external shocks impact local liquidity and capital adequacy ratios. The book emphasizes that resilience in this market requires diversification strategies that go beyond traditional lending to include wealth management, investment banking services for sovereign wealth funds like the Kuwait Investment Authority (KIA), and cross-border mergers and acquisitions.</w:t>
      </w:r>
    </w:p>
    <w:bookmarkEnd w:id="25"/>
    <w:bookmarkStart w:id="26" w:name="v.-socio-cultural-impact"/>
    <w:p>
      <w:pPr>
        <w:pStyle w:val="Heading2"/>
      </w:pPr>
      <w:r>
        <w:t xml:space="preserve">V. Socio-Cultural Impact</w:t>
      </w:r>
    </w:p>
    <w:p>
      <w:pPr>
        <w:pStyle w:val="FirstParagraph"/>
      </w:pPr>
      <w:r>
        <w:t xml:space="preserve">The social fabric of</w:t>
      </w:r>
      <w:r>
        <w:t xml:space="preserve"> </w:t>
      </w:r>
      <w:r>
        <w:rPr>
          <w:bCs/>
          <w:b/>
        </w:rPr>
        <w:t xml:space="preserve">Kuwait City</w:t>
      </w:r>
      <w:r>
        <w:t xml:space="preserve"> </w:t>
      </w:r>
      <w:r>
        <w:t xml:space="preserve">is deeply intertwined with its financial sector. Banking is viewed not just as a business, but as a patriotic duty contributing to national development. This cultural expectation places unique pressures on the</w:t>
      </w:r>
      <w:r>
        <w:t xml:space="preserve"> </w:t>
      </w:r>
      <w:r>
        <w:rPr>
          <w:bCs/>
          <w:b/>
        </w:rPr>
        <w:t xml:space="preserve">Banker</w:t>
      </w:r>
      <w:r>
        <w:t xml:space="preserve">. There is a strong emphasis on corporate social responsibility (CSR) within Kuwaiti banking culture. Institutions are expected to invest in education, healthcare, and infrastructure projects within the emirate.</w:t>
      </w:r>
      <w:r>
        <w:t xml:space="preserve"> </w:t>
      </w:r>
      <w:r>
        <w:t xml:space="preserve">Moreover, the demographic shift toward a younger population has altered consumption patterns. The banker serving</w:t>
      </w:r>
      <w:r>
        <w:t xml:space="preserve"> </w:t>
      </w:r>
      <w:r>
        <w:rPr>
          <w:bCs/>
          <w:b/>
        </w:rPr>
        <w:t xml:space="preserve">Kuwait City</w:t>
      </w:r>
      <w:r>
        <w:t xml:space="preserve"> </w:t>
      </w:r>
      <w:r>
        <w:t xml:space="preserve">clients must understand the aspirations of a digitally native generation that values transparency and ethical investing over purely transactional relationships. This shift is driving banks to adopt ESG (Environmental, Social, and Governance) criteria more rigorously than in previous decades, aligning local practices with global sustainability goals.</w:t>
      </w:r>
    </w:p>
    <w:bookmarkEnd w:id="26"/>
    <w:bookmarkStart w:id="27" w:name="vi.-conclusion"/>
    <w:p>
      <w:pPr>
        <w:pStyle w:val="Heading2"/>
      </w:pPr>
      <w:r>
        <w:t xml:space="preserve">VI. Conclusion</w:t>
      </w:r>
    </w:p>
    <w:p>
      <w:pPr>
        <w:pStyle w:val="FirstParagraph"/>
      </w:pPr>
      <w:r>
        <w:t xml:space="preserve">In conclusion, the narrative of the</w:t>
      </w:r>
      <w:r>
        <w:t xml:space="preserve"> </w:t>
      </w:r>
      <w:r>
        <w:rPr>
          <w:bCs/>
          <w:b/>
        </w:rPr>
        <w:t xml:space="preserve">Banker</w:t>
      </w:r>
      <w:r>
        <w:t xml:space="preserve"> </w:t>
      </w:r>
      <w:r>
        <w:t xml:space="preserve">cannot be fully appreciated without examining its specific manifestations in regional hubs like</w:t>
      </w:r>
      <w:r>
        <w:t xml:space="preserve"> </w:t>
      </w:r>
      <w:r>
        <w:rPr>
          <w:bCs/>
          <w:b/>
        </w:rPr>
        <w:t xml:space="preserve">Kuwait City</w:t>
      </w:r>
      <w:r>
        <w:t xml:space="preserve">. This report has demonstrated that Kuwait offers a unique case study where traditional Islamic values meet modern financial engineering. The evolution from informal credit networks to sophisticated digital banking platforms illustrates the adaptability and resilience of this financial sector.</w:t>
      </w:r>
      <w:r>
        <w:t xml:space="preserve"> </w:t>
      </w:r>
      <w:r>
        <w:t xml:space="preserve">As Kuwait continues to diversify its economy away from oil dependency, the role of the</w:t>
      </w:r>
      <w:r>
        <w:t xml:space="preserve"> </w:t>
      </w:r>
      <w:r>
        <w:rPr>
          <w:bCs/>
          <w:b/>
        </w:rPr>
        <w:t xml:space="preserve">Banker</w:t>
      </w:r>
      <w:r>
        <w:t xml:space="preserve"> </w:t>
      </w:r>
      <w:r>
        <w:t xml:space="preserve">in</w:t>
      </w:r>
      <w:r>
        <w:t xml:space="preserve"> </w:t>
      </w:r>
      <w:r>
        <w:rPr>
          <w:bCs/>
          <w:b/>
        </w:rPr>
        <w:t xml:space="preserve">Kuwait City</w:t>
      </w:r>
      <w:r>
        <w:t xml:space="preserve"> </w:t>
      </w:r>
      <w:r>
        <w:t xml:space="preserve">will become even more critical. They will serve as the architects of a post-oil economic future, leveraging their expertise in Islamic finance and digital innovation to attract foreign investment and foster local entrepreneurship. For students and practitioners alike, studying banking in Kuwait provides valuable insights into how cultural context shapes financial practices. The</w:t>
      </w:r>
      <w:r>
        <w:t xml:space="preserve"> </w:t>
      </w:r>
      <w:r>
        <w:rPr>
          <w:bCs/>
          <w:b/>
        </w:rPr>
        <w:t xml:space="preserve">Banker</w:t>
      </w:r>
      <w:r>
        <w:t xml:space="preserve"> </w:t>
      </w:r>
      <w:r>
        <w:t xml:space="preserve">is no longer just a gatekeeper of capital; in</w:t>
      </w:r>
      <w:r>
        <w:t xml:space="preserve"> </w:t>
      </w:r>
      <w:r>
        <w:rPr>
          <w:bCs/>
          <w:b/>
        </w:rPr>
        <w:t xml:space="preserve">Kuwait City</w:t>
      </w:r>
      <w:r>
        <w:t xml:space="preserve">, they are a custodian of heritage, a driver of innovation, and a key player in the global financial dialogue.</w:t>
      </w:r>
    </w:p>
    <w:bookmarkEnd w:id="27"/>
    <w:bookmarkStart w:id="28" w:name="vii.-recommendations-for-further-study"/>
    <w:p>
      <w:pPr>
        <w:pStyle w:val="Heading2"/>
      </w:pPr>
      <w:r>
        <w:t xml:space="preserve">VII. Recommendations for Further Study</w:t>
      </w:r>
    </w:p>
    <w:p>
      <w:pPr>
        <w:pStyle w:val="FirstParagraph"/>
      </w:pPr>
      <w:r>
        <w:t xml:space="preserve">1. Comparative Analysis: Conduct further research comparing the regulatory efficiency of Kuwait’s Central Bank with that of Dubai or Singapore to identify best practices for</w:t>
      </w:r>
      <w:r>
        <w:t xml:space="preserve"> </w:t>
      </w:r>
      <w:r>
        <w:rPr>
          <w:bCs/>
          <w:b/>
        </w:rPr>
        <w:t xml:space="preserve">Kuwait City</w:t>
      </w:r>
      <w:r>
        <w:t xml:space="preserve">.</w:t>
      </w:r>
      <w:r>
        <w:t xml:space="preserve"> </w:t>
      </w:r>
      <w:r>
        <w:t xml:space="preserve">2. Fintech Integration: Investigate the specific impact of blockchain technology on Islamic finance contracts within local banks.</w:t>
      </w:r>
      <w:r>
        <w:t xml:space="preserve"> </w:t>
      </w:r>
      <w:r>
        <w:t xml:space="preserve">3. Youth Demographics: Analyze how banking products are being tailored to the growing youth population in</w:t>
      </w:r>
      <w:r>
        <w:t xml:space="preserve"> </w:t>
      </w:r>
      <w:r>
        <w:rPr>
          <w:bCs/>
          <w:b/>
        </w:rPr>
        <w:t xml:space="preserve">Kuwait City</w:t>
      </w:r>
      <w:r>
        <w:t xml:space="preserve"> </w:t>
      </w:r>
      <w:r>
        <w:t xml:space="preserve">to ensure long-term customer retention and financial literacy.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Kuwait City</dc:title>
  <dc:creator/>
  <dc:language>en</dc:language>
  <cp:keywords/>
  <dcterms:created xsi:type="dcterms:W3CDTF">2026-07-29T15:14:38Z</dcterms:created>
  <dcterms:modified xsi:type="dcterms:W3CDTF">2026-07-29T15:14:38Z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