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5fcba10994fc31dc7fd8012e7c223dc6ac84b27"/>
    <w:p>
      <w:pPr>
        <w:pStyle w:val="Heading1"/>
      </w:pPr>
      <w:r>
        <w:t xml:space="preserve">Book Report Analysis: The Role and Evolution of the Banker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Financial Studies</w:t>
      </w:r>
      <w:r>
        <w:br/>
      </w:r>
      <w:r>
        <w:rPr>
          <w:bCs/>
          <w:b/>
        </w:rPr>
        <w:t xml:space="preserve">From:</w:t>
      </w:r>
      <w:r>
        <w:t xml:space="preserve"> </w:t>
      </w:r>
      <w:r>
        <w:t xml:space="preserve">Research Analyst</w:t>
      </w:r>
      <w:r>
        <w:br/>
      </w:r>
      <w:r>
        <w:t xml:space="preserve">The Socio-Economic Impact of Banking Professionals in the Capital City</w:t>
      </w:r>
    </w:p>
    <w:bookmarkStart w:id="20" w:name="introduction"/>
    <w:p>
      <w:pPr>
        <w:pStyle w:val="Heading2"/>
      </w:pPr>
      <w:r>
        <w:t xml:space="preserve">1. Introduction</w:t>
      </w:r>
    </w:p>
    <w:p>
      <w:pPr>
        <w:pStyle w:val="FirstParagraph"/>
      </w:pPr>
      <w:r>
        <w:t xml:space="preserve">This report provides a comprehensive analysis of the professional landscape surrounding the</w:t>
      </w:r>
      <w:r>
        <w:t xml:space="preserve"> </w:t>
      </w:r>
      <w:r>
        <w:rPr>
          <w:iCs/>
          <w:i/>
        </w:rPr>
        <w:t xml:space="preserve">Banker</w:t>
      </w:r>
      <w:r>
        <w:t xml:space="preserve">, specifically focusing on their operational context within</w:t>
      </w:r>
      <w:r>
        <w:t xml:space="preserve"> </w:t>
      </w:r>
      <w:r>
        <w:rPr>
          <w:iCs/>
          <w:i/>
        </w:rPr>
        <w:t xml:space="preserve">Malaysia Kuala Lumpur</w:t>
      </w:r>
      <w:r>
        <w:t xml:space="preserve">. The synthesis of recent literature, industry reports, and economic studies reveals that the definition of a banker is no longer confined to traditional transactional duties. Instead, it has evolved into a multifaceted role requiring deep cultural intelligence, regulatory expertise, and strategic foresight. As the financial heart of the nation,</w:t>
      </w:r>
      <w:r>
        <w:t xml:space="preserve"> </w:t>
      </w:r>
      <w:r>
        <w:rPr>
          <w:iCs/>
          <w:i/>
        </w:rPr>
        <w:t xml:space="preserve">Malaysia Kuala Lumpur</w:t>
      </w:r>
      <w:r>
        <w:t xml:space="preserve"> </w:t>
      </w:r>
      <w:r>
        <w:t xml:space="preserve">serves as a unique microcosm where global financial trends intersect with local Islamic finance principles and emerging digital economies.</w:t>
      </w:r>
    </w:p>
    <w:bookmarkEnd w:id="20"/>
    <w:bookmarkStart w:id="21" w:name="the-changing-definition-of-the-banker"/>
    <w:p>
      <w:pPr>
        <w:pStyle w:val="Heading2"/>
      </w:pPr>
      <w:r>
        <w:t xml:space="preserve">2. The Changing Definition of the Banker</w:t>
      </w:r>
    </w:p>
    <w:p>
      <w:pPr>
        <w:pStyle w:val="FirstParagraph"/>
      </w:pPr>
      <w:r>
        <w:t xml:space="preserve">In contemporary discourse, the</w:t>
      </w:r>
      <w:r>
        <w:t xml:space="preserve"> </w:t>
      </w:r>
      <w:r>
        <w:rPr>
          <w:bCs/>
          <w:b/>
        </w:rPr>
        <w:t xml:space="preserve">Banker</w:t>
      </w:r>
      <w:r>
        <w:t xml:space="preserve"> </w:t>
      </w:r>
      <w:r>
        <w:t xml:space="preserve">is increasingly viewed as a partner in wealth creation rather than merely a custodian of capital. The literature emphasizes that modern banking professionals must possess a hybrid skill set, combining technical financial acumen with soft skills such as negotiation, empathy, and digital literacy. In the context of</w:t>
      </w:r>
      <w:r>
        <w:t xml:space="preserve"> </w:t>
      </w:r>
      <w:r>
        <w:rPr>
          <w:iCs/>
          <w:i/>
        </w:rPr>
        <w:t xml:space="preserve">Malaysia Kuala Lumpur</w:t>
      </w:r>
      <w:r>
        <w:t xml:space="preserve">, this transformation is accelerated by the city’s status as a regional hub for ASEAN finance. The local banking sector is heavily influenced by international standards while remaining rooted in community-based economic development.</w:t>
      </w:r>
    </w:p>
    <w:p>
      <w:pPr>
        <w:pStyle w:val="BodyText"/>
      </w:pPr>
      <w:r>
        <w:t xml:space="preserve">Recent studies suggest that the stigma previously associated with traditional lending has been mitigated by relationship-driven banking models prevalent in Southeast Asia. A</w:t>
      </w:r>
      <w:r>
        <w:t xml:space="preserve"> </w:t>
      </w:r>
      <w:r>
        <w:rPr>
          <w:bCs/>
          <w:b/>
        </w:rPr>
        <w:t xml:space="preserve">Banker</w:t>
      </w:r>
      <w:r>
        <w:t xml:space="preserve"> </w:t>
      </w:r>
      <w:r>
        <w:t xml:space="preserve">today must understand the nuanced needs of diverse clientele, ranging from multinational corporations headquartered in Kuala Lumpur to small and medium-sized enterprises (SMEs) driving local growth. This duality requires a professional who can navigate complex cross-border regulations while maintaining personal connections with local business owners.</w:t>
      </w:r>
    </w:p>
    <w:bookmarkEnd w:id="21"/>
    <w:bookmarkStart w:id="22" w:name="the-context-of-malaysia-kuala-lumpur"/>
    <w:p>
      <w:pPr>
        <w:pStyle w:val="Heading2"/>
      </w:pPr>
      <w:r>
        <w:t xml:space="preserve">3. The Context of Malaysia Kuala Lumpur</w:t>
      </w:r>
    </w:p>
    <w:p>
      <w:pPr>
        <w:pStyle w:val="FirstParagraph"/>
      </w:pPr>
      <w:r>
        <w:rPr>
          <w:iCs/>
          <w:i/>
        </w:rPr>
        <w:t xml:space="preserve">Malaysia Kuala Lumpur</w:t>
      </w:r>
      <w:r>
        <w:t xml:space="preserve"> </w:t>
      </w:r>
      <w:r>
        <w:t xml:space="preserve">is not just a geographical location; it is an economic ecosystem characterized by rapid urbanization, technological adoption, and cultural diversity. The city serves as the central nervous system of Malaysia’s economy, hosting the headquarters of major financial institutions such as Bank Negara Malaysia (the central bank) and leading commercial banks like Maybank and CIMB. Consequently, the</w:t>
      </w:r>
      <w:r>
        <w:t xml:space="preserve"> </w:t>
      </w:r>
      <w:r>
        <w:rPr>
          <w:bCs/>
          <w:b/>
        </w:rPr>
        <w:t xml:space="preserve">Banker</w:t>
      </w:r>
      <w:r>
        <w:t xml:space="preserve"> </w:t>
      </w:r>
      <w:r>
        <w:t xml:space="preserve">operating in this region faces a higher degree of scrutiny and expectation compared to their counterparts in other regions.</w:t>
      </w:r>
    </w:p>
    <w:p>
      <w:pPr>
        <w:pStyle w:val="BodyText"/>
      </w:pPr>
      <w:r>
        <w:t xml:space="preserve">The urban landscape of</w:t>
      </w:r>
      <w:r>
        <w:t xml:space="preserve"> </w:t>
      </w:r>
      <w:r>
        <w:rPr>
          <w:iCs/>
          <w:i/>
        </w:rPr>
        <w:t xml:space="preserve">Malaysia Kuala Lumpur</w:t>
      </w:r>
      <w:r>
        <w:t xml:space="preserve">, dominated by skyscrapers such as the Petronas Twin Towers and KLCC Park, symbolizes the modernity and ambition of its financial sector. However, this modernity is balanced with a strong emphasis on Shariah compliance. The unique position of</w:t>
      </w:r>
      <w:r>
        <w:t xml:space="preserve"> </w:t>
      </w:r>
      <w:r>
        <w:rPr>
          <w:iCs/>
          <w:i/>
        </w:rPr>
        <w:t xml:space="preserve">Malaysia Kuala Lumpur</w:t>
      </w:r>
      <w:r>
        <w:t xml:space="preserve"> </w:t>
      </w:r>
      <w:r>
        <w:t xml:space="preserve">as a global leader in Islamic finance means that a successful</w:t>
      </w:r>
      <w:r>
        <w:t xml:space="preserve"> </w:t>
      </w:r>
      <w:r>
        <w:rPr>
          <w:bCs/>
          <w:b/>
        </w:rPr>
        <w:t xml:space="preserve">Banker</w:t>
      </w:r>
      <w:r>
        <w:t xml:space="preserve"> </w:t>
      </w:r>
      <w:r>
        <w:t xml:space="preserve">must be proficient in both conventional and Islamic banking products. This dual expertise allows financial institutions to cater to the diverse demographic makeup of the city, which includes significant populations of Malay, Chinese, Indian, and expatriate communities.</w:t>
      </w:r>
    </w:p>
    <w:bookmarkEnd w:id="22"/>
    <w:bookmarkStart w:id="23" w:name="X8c7154accecdf063c5550fcf02e354e0f059d18"/>
    <w:p>
      <w:pPr>
        <w:pStyle w:val="Heading2"/>
      </w:pPr>
      <w:r>
        <w:t xml:space="preserve">4. Regulatory Frameworks and Ethical Considerations</w:t>
      </w:r>
    </w:p>
    <w:p>
      <w:pPr>
        <w:pStyle w:val="FirstParagraph"/>
      </w:pPr>
      <w:r>
        <w:t xml:space="preserve">The role of the</w:t>
      </w:r>
      <w:r>
        <w:t xml:space="preserve"> </w:t>
      </w:r>
      <w:r>
        <w:rPr>
          <w:bCs/>
          <w:b/>
        </w:rPr>
        <w:t xml:space="preserve">Banker</w:t>
      </w:r>
      <w:r>
        <w:t xml:space="preserve"> </w:t>
      </w:r>
      <w:r>
        <w:t xml:space="preserve">is heavily circumscribed by regulatory frameworks established in</w:t>
      </w:r>
      <w:r>
        <w:t xml:space="preserve"> </w:t>
      </w:r>
      <w:r>
        <w:rPr>
          <w:iCs/>
          <w:i/>
        </w:rPr>
        <w:t xml:space="preserve">Malaysia Kuala Lumpur</w:t>
      </w:r>
      <w:r>
        <w:t xml:space="preserve">. Bank Negara Malaysia enforces strict guidelines regarding anti-money laundering (AML), counter-terrorism financing (CTF), and know-your-customer (KYC) protocols. A thorough review of recent compliance literature indicates that adherence to these regulations is not merely a legal obligation but a core component of professional integrity.</w:t>
      </w:r>
    </w:p>
    <w:p>
      <w:pPr>
        <w:pStyle w:val="BodyText"/>
      </w:pPr>
      <w:r>
        <w:t xml:space="preserve">Ethical banking practices have gained prominence in</w:t>
      </w:r>
      <w:r>
        <w:t xml:space="preserve"> </w:t>
      </w:r>
      <w:r>
        <w:rPr>
          <w:iCs/>
          <w:i/>
        </w:rPr>
        <w:t xml:space="preserve">Malaysia Kuala Lumpur</w:t>
      </w:r>
      <w:r>
        <w:t xml:space="preserve">, driven by consumer demand for transparency. The</w:t>
      </w:r>
      <w:r>
        <w:t xml:space="preserve"> </w:t>
      </w:r>
      <w:r>
        <w:rPr>
          <w:bCs/>
          <w:b/>
        </w:rPr>
        <w:t xml:space="preserve">Banker</w:t>
      </w:r>
      <w:r>
        <w:t xml:space="preserve"> </w:t>
      </w:r>
      <w:r>
        <w:t xml:space="preserve">is expected to act as a fiduciary advisor, ensuring that financial products offered are suitable for the client’s risk profile. This ethical dimension is particularly critical in a multicultural society like</w:t>
      </w:r>
      <w:r>
        <w:t xml:space="preserve"> </w:t>
      </w:r>
      <w:r>
        <w:rPr>
          <w:iCs/>
          <w:i/>
        </w:rPr>
        <w:t xml:space="preserve">Malaysia Kuala Lumpur</w:t>
      </w:r>
      <w:r>
        <w:t xml:space="preserve">, where trust is the primary currency of business relationships. Scandals involving mis-selling or unethical behavior can severely damage the reputation of both individual bankers and institutions, underscoring the importance of ethical training in professional development programs.</w:t>
      </w:r>
    </w:p>
    <w:bookmarkEnd w:id="23"/>
    <w:bookmarkStart w:id="24" w:name="Xbc1d47106519f80c3edd7c27af21b4cf818660a"/>
    <w:p>
      <w:pPr>
        <w:pStyle w:val="Heading2"/>
      </w:pPr>
      <w:r>
        <w:t xml:space="preserve">5. Digital Transformation and Fintech Integration</w:t>
      </w:r>
    </w:p>
    <w:p>
      <w:pPr>
        <w:pStyle w:val="FirstParagraph"/>
      </w:pPr>
      <w:r>
        <w:t xml:space="preserve">The advent of Financial Technology (Fintech) has fundamentally altered the workflow of every</w:t>
      </w:r>
      <w:r>
        <w:t xml:space="preserve"> </w:t>
      </w:r>
      <w:r>
        <w:rPr>
          <w:bCs/>
          <w:b/>
        </w:rPr>
        <w:t xml:space="preserve">Banker</w:t>
      </w:r>
      <w:r>
        <w:t xml:space="preserve">. In</w:t>
      </w:r>
      <w:r>
        <w:t xml:space="preserve"> </w:t>
      </w:r>
      <w:r>
        <w:rPr>
          <w:iCs/>
          <w:i/>
        </w:rPr>
        <w:t xml:space="preserve">Malaysia Kuala Lumpur</w:t>
      </w:r>
      <w:r>
        <w:t xml:space="preserve">, the rapid adoption of digital banking solutions, mobile wallets, and blockchain technologies is reshaping customer expectations. The modern banker must be tech-savvy, capable of leveraging data analytics to provide personalized financial advice. Literature on fintech disruption highlights that banks in</w:t>
      </w:r>
      <w:r>
        <w:t xml:space="preserve"> </w:t>
      </w:r>
      <w:r>
        <w:rPr>
          <w:iCs/>
          <w:i/>
        </w:rPr>
        <w:t xml:space="preserve">Malaysia Kuala Lumpur</w:t>
      </w:r>
      <w:r>
        <w:t xml:space="preserve"> </w:t>
      </w:r>
      <w:r>
        <w:t xml:space="preserve">are investing heavily in digital infrastructure to compete with agile fintech startups.</w:t>
      </w:r>
    </w:p>
    <w:p>
      <w:pPr>
        <w:pStyle w:val="BodyText"/>
      </w:pPr>
      <w:r>
        <w:t xml:space="preserve">This shift requires a re-skilling of the workforce. The traditional skills of manual account management are becoming obsolete, replaced by competencies in data interpretation, cybersecurity awareness, and user experience design. A</w:t>
      </w:r>
      <w:r>
        <w:t xml:space="preserve"> </w:t>
      </w:r>
      <w:r>
        <w:rPr>
          <w:bCs/>
          <w:b/>
        </w:rPr>
        <w:t xml:space="preserve">Banker</w:t>
      </w:r>
      <w:r>
        <w:t xml:space="preserve"> </w:t>
      </w:r>
      <w:r>
        <w:t xml:space="preserve">who fails to adapt to these digital changes risks obsolescence. Conversely, those who embrace technology can enhance efficiency and expand their reach beyond the physical branches of</w:t>
      </w:r>
      <w:r>
        <w:t xml:space="preserve"> </w:t>
      </w:r>
      <w:r>
        <w:rPr>
          <w:iCs/>
          <w:i/>
        </w:rPr>
        <w:t xml:space="preserve">Malaysia Kuala Lumpur</w:t>
      </w:r>
      <w:r>
        <w:t xml:space="preserve">, serving clients across the entire nation and potentially into neighboring ASEAN countries.</w:t>
      </w:r>
    </w:p>
    <w:bookmarkEnd w:id="24"/>
    <w:bookmarkStart w:id="25" w:name="X76fff88d01c8e6f9d9f5b7a8ae78a952e28d46f"/>
    <w:p>
      <w:pPr>
        <w:pStyle w:val="Heading2"/>
      </w:pPr>
      <w:r>
        <w:t xml:space="preserve">6. Corporate Social Responsibility (CSR) and Sustainability</w:t>
      </w:r>
    </w:p>
    <w:p>
      <w:pPr>
        <w:pStyle w:val="FirstParagraph"/>
      </w:pPr>
      <w:r>
        <w:t xml:space="preserve">Sustainability has emerged as a key pillar in the operational strategy of banks based in</w:t>
      </w:r>
      <w:r>
        <w:t xml:space="preserve"> </w:t>
      </w:r>
      <w:r>
        <w:rPr>
          <w:iCs/>
          <w:i/>
        </w:rPr>
        <w:t xml:space="preserve">Malaysia Kuala Lumpur</w:t>
      </w:r>
      <w:r>
        <w:t xml:space="preserve">. The</w:t>
      </w:r>
      <w:r>
        <w:t xml:space="preserve"> </w:t>
      </w:r>
      <w:r>
        <w:rPr>
          <w:bCs/>
          <w:b/>
        </w:rPr>
        <w:t xml:space="preserve">Banker</w:t>
      </w:r>
      <w:r>
        <w:t xml:space="preserve"> </w:t>
      </w:r>
      <w:r>
        <w:t xml:space="preserve">is increasingly tasked with promoting green finance initiatives, such as financing renewable energy projects or supporting sustainable agriculture. Corporate Social Responsibility (CSR) is no longer an optional add-on but a strategic imperative. Reports from major financial institutions in the city demonstrate a commitment to environmental, social, and governance (ESG) criteria.</w:t>
      </w:r>
    </w:p>
    <w:p>
      <w:pPr>
        <w:pStyle w:val="BodyText"/>
      </w:pPr>
      <w:r>
        <w:t xml:space="preserve">This focus on sustainability aligns with national policies aimed at achieving high-income status and sustainable development goals. A</w:t>
      </w:r>
      <w:r>
        <w:t xml:space="preserve"> </w:t>
      </w:r>
      <w:r>
        <w:rPr>
          <w:bCs/>
          <w:b/>
        </w:rPr>
        <w:t xml:space="preserve">Banker</w:t>
      </w:r>
      <w:r>
        <w:t xml:space="preserve"> </w:t>
      </w:r>
      <w:r>
        <w:t xml:space="preserve">in this context acts as an agent of change, directing capital towards projects that yield positive social and environmental impacts. This evolution reflects a broader shift in the global financial community, where value is measured not only in profit margins but also in societal contribution.</w:t>
      </w:r>
    </w:p>
    <w:bookmarkEnd w:id="25"/>
    <w:bookmarkStart w:id="26" w:name="conclusion"/>
    <w:p>
      <w:pPr>
        <w:pStyle w:val="Heading2"/>
      </w:pPr>
      <w:r>
        <w:t xml:space="preserve">7. Conclusion</w:t>
      </w:r>
    </w:p>
    <w:p>
      <w:pPr>
        <w:pStyle w:val="FirstParagraph"/>
      </w:pPr>
      <w:r>
        <w:t xml:space="preserve">In conclusion, the literature surrounding the</w:t>
      </w:r>
      <w:r>
        <w:t xml:space="preserve"> </w:t>
      </w:r>
      <w:r>
        <w:rPr>
          <w:bCs/>
          <w:b/>
        </w:rPr>
        <w:t xml:space="preserve">Banker</w:t>
      </w:r>
      <w:r>
        <w:t xml:space="preserve"> </w:t>
      </w:r>
      <w:r>
        <w:t xml:space="preserve">in</w:t>
      </w:r>
      <w:r>
        <w:t xml:space="preserve"> </w:t>
      </w:r>
      <w:r>
        <w:rPr>
          <w:iCs/>
          <w:i/>
        </w:rPr>
        <w:t xml:space="preserve">Malaysia Kuala Lumpur</w:t>
      </w:r>
      <w:r>
        <w:t xml:space="preserve"> </w:t>
      </w:r>
      <w:r>
        <w:t xml:space="preserve">paints a picture of a dynamic and evolving profession. The role has transcended traditional boundaries to encompass technological innovation, ethical stewardship, and sustainable development. As the financial hub of Southeast Asia,</w:t>
      </w:r>
      <w:r>
        <w:t xml:space="preserve"> </w:t>
      </w:r>
      <w:r>
        <w:rPr>
          <w:iCs/>
          <w:i/>
        </w:rPr>
        <w:t xml:space="preserve">Malaysia Kuala Lumpur</w:t>
      </w:r>
      <w:r>
        <w:rPr>
          <w:bCs/>
          <w:b/>
        </w:rPr>
        <w:t xml:space="preserve">Banker</w:t>
      </w:r>
      <w:r>
        <w:t xml:space="preserve">s are expected to be versatile professionals capable of navigating complex regulatory environments while fostering inclusive economic growth.</w:t>
      </w:r>
    </w:p>
    <w:p>
      <w:pPr>
        <w:pStyle w:val="BodyText"/>
      </w:pPr>
      <w:r>
        <w:t xml:space="preserve">The future success of the banking sector in</w:t>
      </w:r>
      <w:r>
        <w:t xml:space="preserve"> </w:t>
      </w:r>
      <w:r>
        <w:rPr>
          <w:iCs/>
          <w:i/>
        </w:rPr>
        <w:t xml:space="preserve">Malaysia Kuala Lumpur</w:t>
      </w:r>
      <w:r>
        <w:t xml:space="preserve"> </w:t>
      </w:r>
      <w:r>
        <w:t xml:space="preserve">depends on the ability of its practitioners to continuously adapt to changing market dynamics. By integrating digital capabilities with strong ethical standards and a deep understanding of local cultural nuances, the modern</w:t>
      </w:r>
      <w:r>
        <w:t xml:space="preserve"> </w:t>
      </w:r>
      <w:r>
        <w:rPr>
          <w:bCs/>
          <w:b/>
        </w:rPr>
        <w:t xml:space="preserve">Banker</w:t>
      </w:r>
      <w:r>
        <w:t xml:space="preserve"> </w:t>
      </w:r>
      <w:r>
        <w:t xml:space="preserve">will continue to play a pivotal role in driving prosperity for the nation and its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Modern Banker in Malaysia Kuala Lumpur</dc:title>
  <dc:creator/>
  <dc:language>en</dc:language>
  <cp:keywords/>
  <dcterms:created xsi:type="dcterms:W3CDTF">2026-07-29T15:36:12Z</dcterms:created>
  <dcterms:modified xsi:type="dcterms:W3CDTF">2026-07-29T15:36:12Z</dcterms:modified>
</cp:coreProperties>
</file>

<file path=docProps/custom.xml><?xml version="1.0" encoding="utf-8"?>
<Properties xmlns="http://schemas.openxmlformats.org/officeDocument/2006/custom-properties" xmlns:vt="http://schemas.openxmlformats.org/officeDocument/2006/docPropsVTypes"/>
</file>