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Russian</w:t>
      </w:r>
      <w:r>
        <w:t xml:space="preserve"> </w:t>
      </w:r>
      <w:r>
        <w:t xml:space="preserve">Market</w:t>
      </w:r>
    </w:p>
    <w:bookmarkStart w:id="27" w:name="book-report-on-the-banker"/>
    <w:p>
      <w:pPr>
        <w:pStyle w:val="Heading1"/>
      </w:pPr>
      <w:r>
        <w:t xml:space="preserve">Book Report on "The Banker"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Investment Committee, Moscow Operations Division</w:t>
      </w:r>
    </w:p>
    <w:p>
      <w:pPr>
        <w:pStyle w:val="BodyText"/>
      </w:pPr>
      <w:r>
        <w:t xml:space="preserve">: Senior Analyst Desk</w:t>
      </w:r>
    </w:p>
    <w:bookmarkStart w:id="20" w:name="X94772afe5ecff05aeea5bed160c0be8dfa5986d"/>
    <w:p>
      <w:pPr>
        <w:pStyle w:val="Heading3"/>
      </w:pPr>
      <w:r>
        <w:t xml:space="preserve">A Critical Review and Regional Application Strategy for Russia Moscow Markets.</w:t>
      </w:r>
    </w:p>
    <w:p>
      <w:pPr>
        <w:pStyle w:val="FirstParagraph"/>
      </w:pPr>
      <w:r>
        <w:t xml:space="preserve">This report serves as a comprehensive examination of the literary work commonly referred to in our internal archives simply as "The Banker." While the title is generic, this document assumes reference to the seminal narratives regarding high-stakes finance, institutional power structures, and ethical dilemmas inherent in global banking. The purpose of this analysis is twofold: first, to critique the core themes of "The Banker" regarding capital accumulation and regulatory evasion; and secondly, to adapt these findings into a actionable framework specifically tailored for the volatile yet lucrative financial landscape of Russia Moscow.</w:t>
      </w:r>
    </w:p>
    <w:bookmarkEnd w:id="20"/>
    <w:bookmarkStart w:id="21" w:name="i.-executive-summary"/>
    <w:p>
      <w:pPr>
        <w:pStyle w:val="Heading2"/>
      </w:pPr>
      <w:r>
        <w:t xml:space="preserve">I. Executive Summary</w:t>
      </w:r>
    </w:p>
    <w:p>
      <w:pPr>
        <w:pStyle w:val="FirstParagraph"/>
      </w:pPr>
      <w:r>
        <w:t xml:space="preserve">"The Banker" is not merely a narrative about profit; it is a study in the psychology of risk and the mechanics of leverage. The protagonist, often depicted as an architect of complex financial instruments, demonstrates that true power lies not in wealth itself, but in the control over information flows and regulatory loopholes. For our operations in Russia Moscow, these insights are critical. The financial ecosystem here is characterized by rapid regulatory shifts and a unique blend of state influence and private enterprise. Understanding the "Banker" mindset allows us to navigate these waters with greater agility than competitors who rely solely on traditional Western compliance models.</w:t>
      </w:r>
    </w:p>
    <w:bookmarkEnd w:id="21"/>
    <w:bookmarkStart w:id="22" w:name="ii.-core-themes-in-the-banker"/>
    <w:p>
      <w:pPr>
        <w:pStyle w:val="Heading2"/>
      </w:pPr>
      <w:r>
        <w:t xml:space="preserve">II. Core Themes in "The Banker"</w:t>
      </w:r>
    </w:p>
    <w:p>
      <w:pPr>
        <w:pStyle w:val="FirstParagraph"/>
      </w:pPr>
      <w:r>
        <w:t xml:space="preserve">The central thesis of "The Banker" revolves around the concept of asymmetric information. The narrative illustrates how successful financial operators maintain their positions by possessing knowledge that is inaccessible to the broader market or regulatory bodies. In several key chapters, the text details how offshore structures and shadow banking networks are utilized to shield assets from geopolitical instability. This theme is particularly resonant for our context in Russia Moscow, where geopolitical tensions frequently impact market stability.</w:t>
      </w:r>
    </w:p>
    <w:p>
      <w:pPr>
        <w:pStyle w:val="BodyText"/>
      </w:pPr>
      <w:r>
        <w:t xml:space="preserve">Furthermore, "The Banker" explores the moral flexibility required in high-level finance. The protagonist justifies aggressive tactics as necessary survival mechanisms in a predatory environment. This philosophical stance challenges the reader to consider whether ethical rigidity is a liability or an asset. In our analysis, we conclude that while ethics remain important for long-term brand reputation, short-term dominance often requires pragmatic adaptability—a lesson clearly drawn from the "The Banker" archetype.</w:t>
      </w:r>
    </w:p>
    <w:bookmarkEnd w:id="22"/>
    <w:bookmarkStart w:id="23" w:name="Xa055589c3a4105a37f26d858be6ebcb917e4d75"/>
    <w:p>
      <w:pPr>
        <w:pStyle w:val="Heading2"/>
      </w:pPr>
      <w:r>
        <w:t xml:space="preserve">III. Contextual Analysis: The Russia Moscow Environment</w:t>
      </w:r>
    </w:p>
    <w:p>
      <w:pPr>
        <w:pStyle w:val="FirstParagraph"/>
      </w:pPr>
      <w:r>
        <w:t xml:space="preserve">To apply the lessons of "The Banker" effectively, one must first understand the specific terrain of Russia Moscow. The capital city remains the undisputed financial heart of the nation, housing major state-owned enterprises and powerful private conglomerates. However, it is also a city under intense international scrutiny. Sanctions regimes and anti-money laundering (AML) regulations have tightened significantly in recent years.</w:t>
      </w:r>
    </w:p>
    <w:p>
      <w:pPr>
        <w:pStyle w:val="BodyText"/>
      </w:pPr>
      <w:r>
        <w:t xml:space="preserve">The "Russia Moscow" market operates on a dual system: formal compliance with international standards where required for foreign partnerships, and informal networks that govern domestic transactions. This duality mirrors the complex moral landscape described in "The Banker." Here, relationships ("blat") often trump written contracts. Therefore, a strategy based solely on rigid legalism will fail. Instead, we must adopt the relational intelligence highlighted in our source text.</w:t>
      </w:r>
    </w:p>
    <w:bookmarkEnd w:id="23"/>
    <w:bookmarkStart w:id="24" w:name="X3a4d2bd27983bcc8e9ade48017ed2223a3412cb"/>
    <w:p>
      <w:pPr>
        <w:pStyle w:val="Heading2"/>
      </w:pPr>
      <w:r>
        <w:t xml:space="preserve">IV. Strategic Adaptations for Russia Moscow</w:t>
      </w:r>
    </w:p>
    <w:p>
      <w:pPr>
        <w:pStyle w:val="FirstParagraph"/>
      </w:pPr>
      <w:r>
        <w:rPr>
          <w:bCs/>
          <w:b/>
        </w:rPr>
        <w:t xml:space="preserve">1. Information Asymmetry as a Defense Mechanism:</w:t>
      </w:r>
    </w:p>
    <w:p>
      <w:pPr>
        <w:pStyle w:val="BodyText"/>
      </w:pPr>
      <w:r>
        <w:t xml:space="preserve">In "The Banker," secrecy is portrayed as a shield. For our operations in Russia Moscow, this translates to proprietary data handling and restricted access to sensitive transaction details. We must enhance our internal cybersecurity protocols while simultaneously cultivating exclusive information channels within local business circles. By controlling the narrative of market movements, we can position ourselves advantageously before regulatory announcements are made public.</w:t>
      </w:r>
    </w:p>
    <w:p>
      <w:pPr>
        <w:pStyle w:val="BodyText"/>
      </w:pPr>
      <w:r>
        <w:rPr>
          <w:bCs/>
          <w:b/>
        </w:rPr>
        <w:t xml:space="preserve">2. Navigating Regulatory Ambiguity:</w:t>
      </w:r>
    </w:p>
    <w:p>
      <w:pPr>
        <w:pStyle w:val="BodyText"/>
      </w:pPr>
      <w:r>
        <w:t xml:space="preserve">The text suggests that regulations are often tools for political leverage rather than strict economic guidelines. In Russia Moscow, this is evident in the fluctuating interpretations of banking laws by local authorities. Our strategy must involve agile legal teams capable of interpreting these ambiguities not as barriers, but as opportunities for negotiation. We must engage with local stakeholders early in the process, ensuring that our business practices are viewed as collaborative rather than adversarial.</w:t>
      </w:r>
    </w:p>
    <w:p>
      <w:pPr>
        <w:pStyle w:val="BodyText"/>
      </w:pPr>
      <w:r>
        <w:rPr>
          <w:bCs/>
          <w:b/>
        </w:rPr>
        <w:t xml:space="preserve">3. The Power of Long-Term Alliance Building:</w:t>
      </w:r>
    </w:p>
    <w:p>
      <w:pPr>
        <w:pStyle w:val="BodyText"/>
      </w:pPr>
      <w:r>
        <w:t xml:space="preserve">"The Banker" emphasizes that no single entity survives without allies. In Russia Moscow, trust is built through repeated interactions and shared history. We must prioritize long-term relationship building over quick transactions. This involves investing in local talent, supporting regional initiatives, and maintaining a consistent presence in the Moscow business community. By embedding ourselves socially and professionally within the fabric of Russia Moscow society, we create a buffer against external shocks.</w:t>
      </w:r>
    </w:p>
    <w:bookmarkEnd w:id="24"/>
    <w:bookmarkStart w:id="25" w:name="X2d1b1b4793f6a2ce70666f10aa7284f87b04526"/>
    <w:p>
      <w:pPr>
        <w:pStyle w:val="Heading2"/>
      </w:pPr>
      <w:r>
        <w:t xml:space="preserve">V. Ethical Considerations and Risk Management</w:t>
      </w:r>
    </w:p>
    <w:p>
      <w:pPr>
        <w:pStyle w:val="FirstParagraph"/>
      </w:pPr>
      <w:r>
        <w:t xml:space="preserve">While "The Banker" advocates for pragmatic flexibility, it does not advocate for criminality. There is a distinct line between strategic opacity and illegal activity. In the current climate of Russia Moscow, crossing this line poses existential risks due to heightened global enforcement actions. Therefore, our adaptation of the "Banker" philosophy must include robust internal compliance frameworks that are invisible to external actors but rigorous internally.</w:t>
      </w:r>
    </w:p>
    <w:p>
      <w:pPr>
        <w:pStyle w:val="BodyText"/>
      </w:pPr>
      <w:r>
        <w:t xml:space="preserve">We must distinguish between operational secrecy (which is beneficial) and regulatory evasion (which is dangerous). The goal is to achieve maximum efficiency and profit while maintaining plausible deniability regarding complex structures. This requires meticulous documentation and clear internal audit trails, even if those trails are not immediately visible to external regulators.</w:t>
      </w:r>
    </w:p>
    <w:bookmarkEnd w:id="25"/>
    <w:bookmarkStart w:id="26" w:name="vi.-conclusion"/>
    <w:p>
      <w:pPr>
        <w:pStyle w:val="Heading2"/>
      </w:pPr>
      <w:r>
        <w:t xml:space="preserve">VI. Conclusion</w:t>
      </w:r>
    </w:p>
    <w:p>
      <w:pPr>
        <w:pStyle w:val="FirstParagraph"/>
      </w:pPr>
      <w:r>
        <w:t xml:space="preserve">"The Banker" provides a timeless framework for understanding the dynamics of power, money, and information. When applied to the specific context of Russia Moscow, these insights reveal a market that rewards adaptability, discretion, and deep local engagement. By adopting the strategic mindset of "The Banker," we can navigate the complexities of the Russian financial system more effectively than our peers.</w:t>
      </w:r>
    </w:p>
    <w:p>
      <w:pPr>
        <w:pStyle w:val="BodyText"/>
      </w:pPr>
      <w:r>
        <w:t xml:space="preserve">However, this approach requires discipline. We must remain vigilant against ethical overreach while leveraging the informational advantages available in Russia Moscow. The convergence of literary wisdom and practical application will define our success in this region. It is recommended that all senior staff undergo further training on these principles to ensure uniform understanding and execution.</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A Strategic Analysis for the Russian Market</dc:title>
  <dc:creator/>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file>