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4" w:name="book-report-and-strategic-analysis"/>
    <w:p>
      <w:pPr>
        <w:pStyle w:val="Heading1"/>
      </w:pPr>
      <w:r>
        <w:t xml:space="preserve">Book Report and Strategic Analysis</w:t>
      </w:r>
    </w:p>
    <w:p>
      <w:pPr>
        <w:pStyle w:val="FirstParagraph"/>
      </w:pPr>
      <w:r>
        <w:br/>
      </w:r>
    </w:p>
    <w:p>
      <w:pPr>
        <w:pStyle w:val="BodyText"/>
      </w:pPr>
      <w:r>
        <w:rPr>
          <w:bCs/>
          <w:b/>
        </w:rPr>
        <w:t xml:space="preserve">Title:</w:t>
      </w:r>
      <w:r>
        <w:br/>
      </w:r>
      <w:r>
        <w:t xml:space="preserve">The Evolution and Impact of the Modern Banker: A Case Study Focus on Turkey Istanbul</w:t>
      </w:r>
      <w:r>
        <w:br/>
      </w:r>
      <w:r>
        <w:br/>
      </w:r>
      <w:r>
        <w:rPr>
          <w:bCs/>
          <w:b/>
        </w:rPr>
        <w:t xml:space="preserve">Subject Area:</w:t>
      </w:r>
      <w:r>
        <w:br/>
      </w:r>
      <w:r>
        <w:t xml:space="preserve">International Finance, Emerging Markets, Economic History</w:t>
      </w:r>
      <w:r>
        <w:br/>
      </w:r>
      <w:r>
        <w:br/>
      </w:r>
      <w:r>
        <w:rPr>
          <w:bCs/>
          <w:b/>
        </w:rPr>
        <w:t xml:space="preserve">Date of Report:</w:t>
      </w:r>
      <w:r>
        <w:br/>
      </w:r>
      <w:r>
        <w:t xml:space="preserve">October 2023</w:t>
      </w:r>
      <w:r>
        <w:br/>
      </w:r>
      <w:r>
        <w:br/>
      </w:r>
    </w:p>
    <w:p>
      <w:pPr>
        <w:pStyle w:val="BodyText"/>
      </w:pPr>
      <w:r>
        <w:t xml:space="preserve">This Book Report serves as a comprehensive analysis regarding the role, evolution, and strategic importance of the Banker within one of the world’s most dynamic financial hubs: Turkey Istanbul. By examining historical precedents alongside contemporary practices, this document seeks to bridge academic understanding with practical application in complex geopolitical environments. Understanding how a Banker operates within Turkey Istanbul is critical for stakeholders interested in cross-border trade, regional stability, and emerging market investment strategies.</w:t>
      </w:r>
      <w:r>
        <w:br/>
      </w:r>
      <w:r>
        <w:br/>
      </w:r>
    </w:p>
    <w:bookmarkStart w:id="20" w:name="historical-context-of-the-banker"/>
    <w:p>
      <w:pPr>
        <w:pStyle w:val="Heading2"/>
      </w:pPr>
      <w:r>
        <w:t xml:space="preserve">Historical Context of the Banker</w:t>
      </w:r>
    </w:p>
    <w:p>
      <w:pPr>
        <w:pStyle w:val="FirstParagraph"/>
      </w:pPr>
      <w:r>
        <w:br/>
      </w:r>
      <w:r>
        <w:t xml:space="preserve">To fully comprehend the modern Banker’s position in Turkey Istanbul, one must first look back at centuries of financial history. Historically, Istanbul—formerly Constantinople—has served as a crucial junction between East and West. As early banking institutions began to take shape during the Ottoman era and later under Republican reforms, the archetype of the Banker emerged not merely as an intermediary for loans but as a facilitator of international trade routes.</w:t>
      </w:r>
      <w:r>
        <w:br/>
      </w:r>
      <w:r>
        <w:br/>
      </w:r>
      <w:r>
        <w:t xml:space="preserve">During periods when global commerce shifted away from traditional Mediterranean ports toward newer Atlantic centers, Istanbul maintained its relevance due to its unique geographical placement. The Bankers operating in these early days were often part of larger merchant families who specialized in currency exchange and credit extension for silk, spice, and later oil trades. These early figures laid the foundation for today’s robust banking sector seen across Turkey Istanbul.</w:t>
      </w:r>
      <w:r>
        <w:br/>
      </w:r>
      <w:r>
        <w:br/>
      </w:r>
      <w:r>
        <w:t xml:space="preserve">It is essential to note that many foreign banks established branches here long before domestic institutions gained prominence. This influx brought Western methodologies into local markets while simultaneously forcing indigenous entrepreneurs to adapt rapidly—a process which shaped both the resilience and complexity of modern financial practices observed today.</w:t>
      </w:r>
      <w:r>
        <w:br/>
      </w:r>
      <w:r>
        <w:br/>
      </w:r>
    </w:p>
    <w:bookmarkEnd w:id="20"/>
    <w:bookmarkStart w:id="21" w:name="X65af1bb991e9701759b53315559091ff71e5a8d"/>
    <w:p>
      <w:pPr>
        <w:pStyle w:val="Heading2"/>
      </w:pPr>
      <w:r>
        <w:t xml:space="preserve">The Modern Banker Operating Within Turkey Istanbul</w:t>
      </w:r>
    </w:p>
    <w:p>
      <w:pPr>
        <w:pStyle w:val="FirstParagraph"/>
      </w:pPr>
      <w:r>
        <w:br/>
      </w:r>
      <w:r>
        <w:t xml:space="preserve">Fast forward to the present day, and we find a significantly transformed landscape where technology has revolutionized traditional banking operations while regulatory frameworks continue to evolve rapidly. Today’s Banker working in Turkey Istanbul must possess dual competencies: technical expertise combined with cultural intelligence capable navigating diverse client bases ranging from multinational corporations headquartered nearby through small-scale exporters exporting goods globally.</w:t>
      </w:r>
      <w:r>
        <w:br/>
      </w:r>
      <w:r>
        <w:br/>
      </w:r>
      <w:r>
        <w:t xml:space="preserve">One key aspect defining success among contemporary practitioners includes their ability to leverage digital tools effectively without losing sight of personal relationship-building—a trait deeply rooted in Turkish business culture itself. Unlike purely transactional models common elsewhere, relationships remain paramount; trust plays a central role whenever decisions regarding credit limits or investment opportunities arise.</w:t>
      </w:r>
      <w:r>
        <w:br/>
      </w:r>
      <w:r>
        <w:br/>
      </w:r>
      <w:r>
        <w:t xml:space="preserve">Moreover, geopolitical factors heavily influence decision-making processes for any Banker operating within Turkey Istanbul’s borders given its proximity to regions experiencing political instability (such as Syria/Iraq). This necessitates heightened risk assessment skills alongside flexible product offerings tailored specifically toward clients needing protection against currency fluctuations or supply chain disruptions caused externally.</w:t>
      </w:r>
      <w:r>
        <w:br/>
      </w:r>
      <w:r>
        <w:br/>
      </w:r>
    </w:p>
    <w:bookmarkEnd w:id="21"/>
    <w:bookmarkStart w:id="22" w:name="X32d96a97227b509cb01b6be82c547ba8acfe7d0"/>
    <w:p>
      <w:pPr>
        <w:pStyle w:val="Heading2"/>
      </w:pPr>
      <w:r>
        <w:t xml:space="preserve">Key Challenges &amp; Opportunities Facing Today’s Professionals</w:t>
      </w:r>
    </w:p>
    <w:p>
      <w:pPr>
        <w:pStyle w:val="FirstParagraph"/>
      </w:pPr>
      <w:r>
        <w:br/>
      </w:r>
      <w:r>
        <w:t xml:space="preserve">Despite being located strategically at the crossroads between Europe and Asia Minor, there are numerous obstacles confronting those seeking careers as professional Bankers within this vibrant city-state environment:</w:t>
      </w:r>
      <w:r>
        <w:br/>
      </w:r>
      <w:r>
        <w:br/>
      </w:r>
    </w:p>
    <w:p>
      <w:pPr>
        <w:numPr>
          <w:ilvl w:val="0"/>
          <w:numId w:val="1001"/>
        </w:numPr>
        <w:pStyle w:val="Compact"/>
      </w:pPr>
      <w:r>
        <w:rPr>
          <w:bCs/>
          <w:b/>
        </w:rPr>
        <w:t xml:space="preserve">Currency Volatility:</w:t>
      </w:r>
      <w:r>
        <w:t xml:space="preserve"> </w:t>
      </w:r>
      <w:r>
        <w:t xml:space="preserve">The Turkish Lira often experiences significant depreciation against major currencies like USD/EUR which impacts lending portfolios negatively unless hedged appropriately.</w:t>
      </w:r>
    </w:p>
    <w:p>
      <w:pPr>
        <w:numPr>
          <w:ilvl w:val="0"/>
          <w:numId w:val="1001"/>
        </w:numPr>
        <w:pStyle w:val="Compact"/>
      </w:pPr>
      <w:r>
        <w:rPr>
          <w:bCs/>
          <w:b/>
        </w:rPr>
        <w:t xml:space="preserve">Inflationary Pressures:</w:t>
      </w:r>
      <w:r>
        <w:t xml:space="preserve"> </w:t>
      </w:r>
      <w:r>
        <w:t xml:space="preserve">High inflation rates force central banks adjust interest policies frequently thereby creating uncertainty around long-term planning for both borrowers/lenders alike.</w:t>
      </w:r>
    </w:p>
    <w:p>
      <w:pPr>
        <w:numPr>
          <w:ilvl w:val="0"/>
          <w:numId w:val="1001"/>
        </w:numPr>
        <w:pStyle w:val="Compact"/>
      </w:pPr>
      <w:r>
        <w:rPr>
          <w:bCs/>
          <w:b/>
        </w:rPr>
        <w:t xml:space="preserve">Regulatory Compliance:</w:t>
      </w:r>
      <w:r>
        <w:t xml:space="preserve"> </w:t>
      </w:r>
      <w:r>
        <w:t xml:space="preserve">Increasing scrutiny from international bodies means stricter adherence to anti-money laundering laws plus KYC protocols require constant updating among staff members responsible overseeing compliance functions internally.</w:t>
      </w:r>
    </w:p>
    <w:p>
      <w:pPr>
        <w:pStyle w:val="FirstParagraph"/>
      </w:pPr>
      <w:r>
        <w:t xml:space="preserve">However alongside challenges lie immense opportunities particularly related fintech innovation partnerships between startups traditional institutions looking modernize legacy systems quickly efficiently. Additionally growing demand sustainable finance solutions presents fresh avenues for differentiation amongst competitors vying share market presence throughout Turkey Istanbul region.</w:t>
      </w:r>
      <w:r>
        <w:br/>
      </w:r>
      <w:r>
        <w:br/>
      </w:r>
    </w:p>
    <w:bookmarkEnd w:id="22"/>
    <w:bookmarkStart w:id="23" w:name="future-outlook-conclusion"/>
    <w:p>
      <w:pPr>
        <w:pStyle w:val="Heading2"/>
      </w:pPr>
      <w:r>
        <w:t xml:space="preserve">Future Outlook &amp; Conclusion</w:t>
      </w:r>
    </w:p>
    <w:p>
      <w:pPr>
        <w:pStyle w:val="FirstParagraph"/>
      </w:pPr>
      <w:r>
        <w:br/>
      </w:r>
      <w:r>
        <w:t xml:space="preserve">Looking ahead, it seems certain that importance held by Bankers within Turkey Istanbul will only grow stronger over next decade or two thanks ongoing urbanization trends plus increasing middle class consumption patterns driving overall economic growth trajectory upward steadily despite occasional setbacks experienced along way due unforeseen circumstances beyond anyone's control whatsoever.</w:t>
      </w:r>
      <w:r>
        <w:br/>
      </w:r>
      <w:r>
        <w:br/>
      </w:r>
      <w:r>
        <w:t xml:space="preserve">In conclusion this report highlights just some aspects involved becoming successful practitioner working within such complex yet rewarding field characterized constantly changing dynamics requiring adaptability combined solid analytical abilities backed up strong ethical standards guiding actions taken daily basis regardless situation faced head-on bravely confidently knowing ultimately contributing positively towards society overall prosperity well-being future generations coming after us all.</w:t>
      </w:r>
      <w:r>
        <w:br/>
      </w:r>
      <w:r>
        <w:br/>
      </w:r>
      <w:r>
        <w:t xml:space="preserve">For further reading suggestions please refer listed below:</w:t>
      </w:r>
      <w:r>
        <w:br/>
      </w:r>
      <w:r>
        <w:br/>
      </w:r>
    </w:p>
    <w:p>
      <w:pPr>
        <w:numPr>
          <w:ilvl w:val="0"/>
          <w:numId w:val="1002"/>
        </w:numPr>
        <w:pStyle w:val="Compact"/>
      </w:pPr>
      <w:r>
        <w:t xml:space="preserve">"Finance Across Borders" – John Doe Publishing House</w:t>
      </w:r>
    </w:p>
    <w:p>
      <w:pPr>
        <w:numPr>
          <w:ilvl w:val="0"/>
          <w:numId w:val="1002"/>
        </w:numPr>
        <w:pStyle w:val="Compact"/>
      </w:pPr>
      <w:r>
        <w:t xml:space="preserve">"Emerging Markets Handbook" edited by Jane Smith Academic Press</w:t>
      </w:r>
    </w:p>
    <w:p>
      <w:pPr>
        <w:numPr>
          <w:ilvl w:val="0"/>
          <w:numId w:val="1002"/>
        </w:numPr>
        <w:pStyle w:val="Compact"/>
      </w:pPr>
      <w:r>
        <w:t xml:space="preserve">"Central Banking Policies in Turbulent Times" published by World Bank Group Research Department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Banker in the Context of Turkey Istanbul</dc:title>
  <dc:creator/>
  <dc:language>en</dc:language>
  <cp:keywords/>
  <dcterms:created xsi:type="dcterms:W3CDTF">2026-07-29T21:09:13Z</dcterms:created>
  <dcterms:modified xsi:type="dcterms:W3CDTF">2026-07-29T21:09:13Z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