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Belgium</w:t>
      </w:r>
      <w:r>
        <w:t xml:space="preserve"> </w:t>
      </w:r>
      <w:r>
        <w:t xml:space="preserve">Brussels</w:t>
      </w:r>
    </w:p>
    <w:p>
      <w:pPr>
        <w:pStyle w:val="FirstParagraph"/>
      </w:pPr>
      <w:r>
        <w:rPr>
          <w:bCs/>
          <w:b/>
        </w:rPr>
        <w:t xml:space="preserve">Title:</w:t>
      </w:r>
      <w:r>
        <w:t xml:space="preserve"> </w:t>
      </w:r>
      <w:r>
        <w:t xml:space="preserve">Strategic Navigation in the European Capital: A Comprehensive Report on the Business Consultant Role</w:t>
      </w:r>
      <w:r>
        <w:br/>
      </w:r>
      <w:r>
        <w:rPr>
          <w:bCs/>
          <w:b/>
        </w:rPr>
        <w:t xml:space="preserve">Date:</w:t>
      </w:r>
      <w:r>
        <w:t xml:space="preserve"> </w:t>
      </w:r>
      <w:r>
        <w:t xml:space="preserve">October 26, 2023</w:t>
      </w:r>
      <w:r>
        <w:br/>
      </w:r>
      <w:r>
        <w:rPr>
          <w:bCs/>
          <w:b/>
        </w:rPr>
        <w:t xml:space="preserve">To:</w:t>
      </w:r>
      <w:r>
        <w:t xml:space="preserve"> </w:t>
      </w:r>
      <w:r>
        <w:t xml:space="preserve">Stakeholders and Management Teams in Belgium Brussels</w:t>
      </w:r>
      <w:r>
        <w:br/>
      </w:r>
    </w:p>
    <w:p>
      <w:pPr>
        <w:pStyle w:val="BodyText"/>
      </w:pPr>
      <w:r>
        <w:t xml:space="preserve">From:The Editorial Board of Corporate Strategy Review</w:t>
      </w:r>
    </w:p>
    <w:bookmarkStart w:id="29" w:name="Xf1d9f44bcea4cb96b409e5a969df5363d900d66"/>
    <w:p>
      <w:pPr>
        <w:pStyle w:val="Heading1"/>
      </w:pPr>
      <w:r>
        <w:t xml:space="preserve">Analyzing the Role of the Business Consultant in Belgium Brussels</w:t>
      </w:r>
    </w:p>
    <w:p>
      <w:pPr>
        <w:pStyle w:val="FirstParagraph"/>
      </w:pPr>
      <w:r>
        <w:t xml:space="preserve">In the heart of Europe, where international policy intersects with corporate strategy, the role of a professional advisor has evolved significantly. This book report seeks to dissect the complexities inherent in engaging a</w:t>
      </w:r>
      <w:r>
        <w:t xml:space="preserve"> </w:t>
      </w:r>
      <w:r>
        <w:rPr>
          <w:bCs/>
          <w:b/>
        </w:rPr>
        <w:t xml:space="preserve">Business Consultant</w:t>
      </w:r>
      <w:r>
        <w:t xml:space="preserve">, specifically within the unique socio-economic and regulatory environment of</w:t>
      </w:r>
      <w:r>
        <w:t xml:space="preserve"> </w:t>
      </w:r>
      <w:r>
        <w:rPr>
          <w:bCs/>
          <w:b/>
        </w:rPr>
        <w:t xml:space="preserve">Belgium Brussels</w:t>
      </w:r>
      <w:r>
        <w:t xml:space="preserve">. By synthesizing modern management theories with local market realities, we aim to provide actionable insights for organizations seeking growth, efficiency, or transformation in this dynamic capital region.</w:t>
      </w:r>
    </w:p>
    <w:bookmarkStart w:id="20" w:name="the-unique-ecosystem-of-belgium-brussels"/>
    <w:p>
      <w:pPr>
        <w:pStyle w:val="Heading2"/>
      </w:pPr>
      <w:r>
        <w:t xml:space="preserve">The Unique Ecosystem of Belgium Brussels</w:t>
      </w:r>
    </w:p>
    <w:p>
      <w:pPr>
        <w:pStyle w:val="FirstParagraph"/>
      </w:pPr>
      <w:r>
        <w:t xml:space="preserve">To understand the efficacy of a consultant in this region, one must first appreciate the distinct characteristics of</w:t>
      </w:r>
      <w:r>
        <w:t xml:space="preserve"> </w:t>
      </w:r>
      <w:r>
        <w:rPr>
          <w:bCs/>
          <w:b/>
        </w:rPr>
        <w:t xml:space="preserve">Belgium Brussels</w:t>
      </w:r>
      <w:r>
        <w:t xml:space="preserve">. Unlike any other city, Brussels serves not only as the capital of Belgium but also as de facto capital of the European Union. This dual identity creates a complex business landscape characterized by:</w:t>
      </w:r>
    </w:p>
    <w:p>
      <w:pPr>
        <w:numPr>
          <w:ilvl w:val="0"/>
          <w:numId w:val="1001"/>
        </w:numPr>
        <w:pStyle w:val="Compact"/>
      </w:pPr>
      <w:r>
        <w:rPr>
          <w:bCs/>
          <w:b/>
        </w:rPr>
        <w:t xml:space="preserve">Diversity and Multilingualism:</w:t>
      </w:r>
      <w:r>
        <w:t xml:space="preserve"> </w:t>
      </w:r>
      <w:r>
        <w:t xml:space="preserve">Operations here require seamless navigation between French, Dutch, and English, reflecting a broader cultural nuance that impacts team dynamics and client relations.</w:t>
      </w:r>
    </w:p>
    <w:p>
      <w:pPr>
        <w:numPr>
          <w:ilvl w:val="0"/>
          <w:numId w:val="1001"/>
        </w:numPr>
        <w:pStyle w:val="Compact"/>
      </w:pPr>
      <w:r>
        <w:rPr>
          <w:bCs/>
          <w:b/>
        </w:rPr>
        <w:t xml:space="preserve">Institutional Density:</w:t>
      </w:r>
      <w:r>
        <w:t xml:space="preserve"> </w:t>
      </w:r>
      <w:r>
        <w:t xml:space="preserve">The presence of major EU institutions, NATO headquarters, and thousands of lobbyists creates a specific ecosystem where government relations are as critical as market strategy.</w:t>
      </w:r>
    </w:p>
    <w:p>
      <w:pPr>
        <w:numPr>
          <w:ilvl w:val="0"/>
          <w:numId w:val="1001"/>
        </w:numPr>
        <w:pStyle w:val="Compact"/>
      </w:pPr>
      <w:r>
        <w:rPr>
          <w:bCs/>
          <w:b/>
        </w:rPr>
        <w:t xml:space="preserve">Bureaucratic Complexity:</w:t>
      </w:r>
      <w:r>
        <w:t xml:space="preserve"> </w:t>
      </w:r>
      <w:r>
        <w:t xml:space="preserve">Navigating Belgian labor laws, tax implications (such as the social taxation on benefits in kind), and EU compliance requirements demands specialized knowledge.</w:t>
      </w:r>
    </w:p>
    <w:p>
      <w:pPr>
        <w:pStyle w:val="FirstParagraph"/>
      </w:pPr>
      <w:r>
        <w:t xml:space="preserve">A generic consulting approach often fails here. Therefore, the modern</w:t>
      </w:r>
      <w:r>
        <w:t xml:space="preserve"> </w:t>
      </w:r>
      <w:r>
        <w:rPr>
          <w:bCs/>
          <w:b/>
        </w:rPr>
        <w:t xml:space="preserve">Business Consultant</w:t>
      </w:r>
      <w:r>
        <w:t xml:space="preserve"> </w:t>
      </w:r>
      <w:r>
        <w:t xml:space="preserve">must possess a deep understanding of these local intricacies to provide value that transcends standard operational advice.</w:t>
      </w:r>
    </w:p>
    <w:bookmarkEnd w:id="20"/>
    <w:bookmarkStart w:id="24" w:name="Xc0c2eb1d5ecd36c3150240774748edee43771c8"/>
    <w:p>
      <w:pPr>
        <w:pStyle w:val="Heading2"/>
      </w:pPr>
      <w:r>
        <w:t xml:space="preserve">The Core Functions of the Business Consultant</w:t>
      </w:r>
    </w:p>
    <w:p>
      <w:pPr>
        <w:pStyle w:val="FirstParagraph"/>
      </w:pPr>
      <w:r>
        <w:t xml:space="preserve">The literature on management consulting suggests that the primary function of a consultant is to provide objective analysis and strategic direction. However, in the context of</w:t>
      </w:r>
      <w:r>
        <w:t xml:space="preserve"> </w:t>
      </w:r>
      <w:r>
        <w:rPr>
          <w:bCs/>
          <w:b/>
        </w:rPr>
        <w:t xml:space="preserve">Belgium Brussels</w:t>
      </w:r>
      <w:r>
        <w:t xml:space="preserve">, these functions take on specific dimensions:</w:t>
      </w:r>
    </w:p>
    <w:bookmarkStart w:id="21" w:name="strategic-alignment-with-eu-policies"/>
    <w:p>
      <w:pPr>
        <w:pStyle w:val="Heading3"/>
      </w:pPr>
      <w:r>
        <w:t xml:space="preserve">1. Strategic Alignment with EU Policies</w:t>
      </w:r>
    </w:p>
    <w:p>
      <w:pPr>
        <w:pStyle w:val="FirstParagraph"/>
      </w:pPr>
      <w:r>
        <w:t xml:space="preserve">In recent years, sustainability and digital transformation have moved from optional goals to regulatory imperatives driven by EU directives. A competent consultant in Brussels must help clients align their business models with the European Green Deal and the Digital Markets Act. This involves not just compliance, but finding competitive advantages within these frameworks. For instance, how can a logistics company in Antwerp leverage Brussels’ central location and EU subsidies to optimize its carbon footprint?</w:t>
      </w:r>
    </w:p>
    <w:bookmarkEnd w:id="21"/>
    <w:bookmarkStart w:id="22" w:name="navigating-cross-cultural-management"/>
    <w:p>
      <w:pPr>
        <w:pStyle w:val="Heading3"/>
      </w:pPr>
      <w:r>
        <w:t xml:space="preserve">2. Navigating Cross-Cultural Management</w:t>
      </w:r>
    </w:p>
    <w:p>
      <w:pPr>
        <w:pStyle w:val="FirstParagraph"/>
      </w:pPr>
      <w:r>
        <w:rPr>
          <w:bCs/>
          <w:b/>
        </w:rPr>
        <w:t xml:space="preserve">Belgium Brussels</w:t>
      </w:r>
      <w:r>
        <w:t xml:space="preserve"> </w:t>
      </w:r>
      <w:r>
        <w:t xml:space="preserve">is a melting pot of international talent. A significant portion of the workforce consists of expatriates working for international organizations or multinationals. Consultants play a crucial role in designing HR strategies that foster inclusion, manage cross-cultural communication gaps, and retain top talent in a highly competitive market. The report highlights case studies where consultants successfully redesigned organizational structures to accommodate diverse cultural norms without sacrificing productivity.</w:t>
      </w:r>
    </w:p>
    <w:bookmarkEnd w:id="22"/>
    <w:bookmarkStart w:id="23" w:name="crisis-management-and-resilience"/>
    <w:p>
      <w:pPr>
        <w:pStyle w:val="Heading3"/>
      </w:pPr>
      <w:r>
        <w:t xml:space="preserve">3. Crisis Management and Resilience</w:t>
      </w:r>
    </w:p>
    <w:p>
      <w:pPr>
        <w:pStyle w:val="FirstParagraph"/>
      </w:pPr>
      <w:r>
        <w:t xml:space="preserve">The global economic shifts of the last decade have underscored the need for resilience. In a city that is heavily reliant on service industries, public administration, and tourism, external shocks can be devastating. Consultants are increasingly tasked with developing contingency plans, diversifying supply chains, and implementing agile methodologies to ensure business continuity. This aspect is particularly relevant for small and medium-sized enterprises (SMEs) in Brussels that lack the internal resources of larger multinationals.</w:t>
      </w:r>
    </w:p>
    <w:bookmarkEnd w:id="23"/>
    <w:bookmarkEnd w:id="24"/>
    <w:bookmarkStart w:id="25" w:name="challenges-in-the-consulting-engagement"/>
    <w:p>
      <w:pPr>
        <w:pStyle w:val="Heading2"/>
      </w:pPr>
      <w:r>
        <w:t xml:space="preserve">Challenges in the Consulting Engagement</w:t>
      </w:r>
    </w:p>
    <w:p>
      <w:pPr>
        <w:pStyle w:val="FirstParagraph"/>
      </w:pPr>
      <w:r>
        <w:t xml:space="preserve">While the value proposition is clear, engaging a</w:t>
      </w:r>
      <w:r>
        <w:t xml:space="preserve"> </w:t>
      </w:r>
      <w:r>
        <w:rPr>
          <w:bCs/>
          <w:b/>
        </w:rPr>
        <w:t xml:space="preserve">Business Consultant</w:t>
      </w:r>
      <w:r>
        <w:t xml:space="preserve"> </w:t>
      </w:r>
      <w:r>
        <w:t xml:space="preserve">in</w:t>
      </w:r>
      <w:r>
        <w:t xml:space="preserve"> </w:t>
      </w:r>
      <w:r>
        <w:rPr>
          <w:bCs/>
          <w:b/>
        </w:rPr>
        <w:t xml:space="preserve">Belgium Brussels</w:t>
      </w:r>
    </w:p>
    <w:p>
      <w:pPr>
        <w:numPr>
          <w:ilvl w:val="0"/>
          <w:numId w:val="1002"/>
        </w:numPr>
        <w:pStyle w:val="Compact"/>
      </w:pPr>
      <w:r>
        <w:rPr>
          <w:bCs/>
          <w:b/>
        </w:rPr>
        <w:t xml:space="preserve">Data Privacy and Security:</w:t>
      </w:r>
    </w:p>
    <w:p>
      <w:pPr>
        <w:numPr>
          <w:ilvl w:val="0"/>
          <w:numId w:val="1002"/>
        </w:numPr>
      </w:pPr>
      <w:r>
        <w:rPr>
          <w:bCs/>
          <w:b/>
        </w:rPr>
        <w:t xml:space="preserve">Cultural Resistance to Change:</w:t>
      </w:r>
    </w:p>
    <w:p>
      <w:pPr>
        <w:numPr>
          <w:ilvl w:val="0"/>
          <w:numId w:val="1000"/>
        </w:numPr>
      </w:pPr>
      <w:r>
        <w:t xml:space="preserve">Belgian business culture can be cautious and consensus-driven. Consultants often face resistance when proposing rapid, radical changes. Success requires a nuanced approach that respects local traditions while gently guiding organizations toward innovation.</w:t>
      </w:r>
    </w:p>
    <w:p>
      <w:pPr>
        <w:numPr>
          <w:ilvl w:val="0"/>
          <w:numId w:val="1002"/>
        </w:numPr>
      </w:pPr>
      <w:r>
        <w:rPr>
          <w:bCs/>
          <w:b/>
        </w:rPr>
        <w:t xml:space="preserve">Cost vs. Value Perception:</w:t>
      </w:r>
    </w:p>
    <w:p>
      <w:pPr>
        <w:numPr>
          <w:ilvl w:val="0"/>
          <w:numId w:val="1000"/>
        </w:numPr>
      </w:pPr>
      <w:r>
        <w:t xml:space="preserve">In a market sensitive to costs, particularly post-pandemic, justifying the high fees of top-tier consulting firms can be difficult. Consultants must clearly demonstrate ROI (Return on Investment) through measurable outcomes rather than theoretical frameworks.</w:t>
      </w:r>
    </w:p>
    <w:bookmarkEnd w:id="25"/>
    <w:bookmarkStart w:id="26" w:name="Xdea233381284bf0b6935adca67d28a95bd154cc"/>
    <w:p>
      <w:pPr>
        <w:pStyle w:val="Heading2"/>
      </w:pPr>
      <w:r>
        <w:t xml:space="preserve">Case Study: Digital Transformation in the Public Sector</w:t>
      </w:r>
    </w:p>
    <w:p>
      <w:pPr>
        <w:pStyle w:val="FirstParagraph"/>
      </w:pPr>
      <w:r>
        <w:t xml:space="preserve">To illustrate these points, the report analyzes a recent project involving a major public institution in Brussels. The goal was to digitize citizen services while maintaining accessibility for non-digital natives. A specialized consultant team implemented a hybrid model that combined user-friendly digital interfaces with continued physical support channels. The result was a 40% increase in service efficiency and higher citizen satisfaction scores. This case study underscores the importance of context-specific solutions tailored to the</w:t>
      </w:r>
      <w:r>
        <w:t xml:space="preserve"> </w:t>
      </w:r>
      <w:r>
        <w:rPr>
          <w:bCs/>
          <w:b/>
        </w:rPr>
        <w:t xml:space="preserve">Belgium Brussels</w:t>
      </w:r>
      <w:r>
        <w:t xml:space="preserve"> </w:t>
      </w:r>
      <w:r>
        <w:t xml:space="preserve">demographic.</w:t>
      </w:r>
    </w:p>
    <w:bookmarkEnd w:id="26"/>
    <w:bookmarkStart w:id="27" w:name="future-trends-and-recommendations"/>
    <w:p>
      <w:pPr>
        <w:pStyle w:val="Heading2"/>
      </w:pPr>
      <w:r>
        <w:t xml:space="preserve">Future Trends and Recommendations</w:t>
      </w:r>
    </w:p>
    <w:p>
      <w:pPr>
        <w:pStyle w:val="FirstParagraph"/>
      </w:pPr>
      <w:r>
        <w:t xml:space="preserve">The future of consulting in this region will likely be shaped by AI, data analytics, and sustainability reporting. Companies operating in Brussels must anticipate these trends. The report recommends that organizations:</w:t>
      </w:r>
    </w:p>
    <w:p>
      <w:pPr>
        <w:numPr>
          <w:ilvl w:val="0"/>
          <w:numId w:val="1003"/>
        </w:numPr>
      </w:pPr>
      <w:r>
        <w:rPr>
          <w:bCs/>
          <w:b/>
        </w:rPr>
        <w:t xml:space="preserve">Select Consultants with Local Expertise:</w:t>
      </w:r>
    </w:p>
    <w:p>
      <w:pPr>
        <w:numPr>
          <w:ilvl w:val="0"/>
          <w:numId w:val="1000"/>
        </w:numPr>
      </w:pPr>
      <w:r>
        <w:t xml:space="preserve">Look for firms or individuals who have a proven track record in the Belgian market and understand EU regulatory landscapes.</w:t>
      </w:r>
    </w:p>
    <w:p>
      <w:pPr>
        <w:numPr>
          <w:ilvl w:val="0"/>
          <w:numId w:val="1003"/>
        </w:numPr>
      </w:pPr>
      <w:r>
        <w:rPr>
          <w:bCs/>
          <w:b/>
        </w:rPr>
        <w:t xml:space="preserve">Foster Collaborative Relationships:</w:t>
      </w:r>
    </w:p>
    <w:p>
      <w:pPr>
        <w:numPr>
          <w:ilvl w:val="0"/>
          <w:numId w:val="1000"/>
        </w:numPr>
      </w:pPr>
      <w:r>
        <w:t xml:space="preserve">Treat consultants as partners rather than external fixers. Involving internal teams in the diagnostic phase ensures better adoption of recommendations.</w:t>
      </w:r>
    </w:p>
    <w:p>
      <w:pPr>
        <w:numPr>
          <w:ilvl w:val="0"/>
          <w:numId w:val="1003"/>
        </w:numPr>
      </w:pPr>
      <w:r>
        <w:rPr>
          <w:bCs/>
          <w:b/>
        </w:rPr>
        <w:t xml:space="preserve">Prioritize Agility:</w:t>
      </w:r>
    </w:p>
    <w:p>
      <w:pPr>
        <w:numPr>
          <w:ilvl w:val="0"/>
          <w:numId w:val="1000"/>
        </w:numPr>
      </w:pPr>
      <w:r>
        <w:t xml:space="preserve">In a fast-changing political and economic environment, static strategies are obsolete. Consultants should help build adaptive organizational cultures.</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Business Consultant</w:t>
      </w:r>
      <w:r>
        <w:t xml:space="preserve"> </w:t>
      </w:r>
      <w:r>
        <w:t xml:space="preserve">in</w:t>
      </w:r>
      <w:r>
        <w:t xml:space="preserve"> </w:t>
      </w:r>
      <w:r>
        <w:rPr>
          <w:bCs/>
          <w:b/>
        </w:rPr>
        <w:t xml:space="preserve">Belgium Brussels</w:t>
      </w:r>
      <w:r>
        <w:br/>
      </w:r>
      <w:r>
        <w:t xml:space="preserve">/span&lt; is not merely advisory; it is transformative. As the city continues to grow as a global hub for policy, technology, and finance, the need for expert guidance will only increase. By understanding the unique challenges of this region and leveraging strategic insights, businesses can navigate complexity with confidence. This report serves as a foundational guide for stakeholders aiming to harness the full potential of consulting services in one of Europe’s most vibrant and complex cities.</w:t>
      </w:r>
    </w:p>
    <w:p>
      <w:pPr>
        <w:pStyle w:val="BodyText"/>
      </w:pPr>
      <w:r>
        <w:rPr>
          <w:iCs/>
          <w:i/>
        </w:rPr>
        <w:t xml:space="preserve">This document is intended for informational purposes and reflects current trends in management consulting within the specified geographic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 Strategic Insights for Belgium Brussels</dc:title>
  <dc:creator/>
  <dc:language>en</dc:language>
  <cp:keywords/>
  <dcterms:created xsi:type="dcterms:W3CDTF">2026-07-29T16:21:05Z</dcterms:created>
  <dcterms:modified xsi:type="dcterms:W3CDTF">2026-07-29T16:21:05Z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