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e362317d5b7cf49bc09b5fc2584c15177d1e287"/>
    <w:p>
      <w:pPr>
        <w:pStyle w:val="Heading1"/>
      </w:pPr>
      <w:r>
        <w:t xml:space="preserve">Book Report: The Strategic Business Consultant in Germany Frankfurt</w:t>
      </w:r>
    </w:p>
    <w:p>
      <w:pPr>
        <w:pStyle w:val="FirstParagraph"/>
      </w:pPr>
      <w:r>
        <w:rPr>
          <w:bCs/>
          <w:b/>
        </w:rPr>
        <w:t xml:space="preserve">Date:</w:t>
      </w:r>
      <w:r>
        <w:t xml:space="preserve"> </w:t>
      </w:r>
      <w:r>
        <w:t xml:space="preserve">October 26, 2023</w:t>
      </w:r>
      <w:r>
        <w:br/>
      </w:r>
    </w:p>
    <w:bookmarkStart w:id="20" w:name="i.-introduction-and-contextual-overview"/>
    <w:p>
      <w:pPr>
        <w:pStyle w:val="Heading2"/>
      </w:pPr>
      <w:r>
        <w:t xml:space="preserve">I. Introduction and Contextual Overview</w:t>
      </w:r>
    </w:p>
    <w:p>
      <w:pPr>
        <w:pStyle w:val="FirstParagraph"/>
      </w:pPr>
      <w:r>
        <w:t xml:space="preserve">The modern corporate landscape is increasingly defined by volatility, uncertainty, complexity, and ambiguity (VUCA). In this environment, the role of the</w:t>
      </w:r>
      <w:r>
        <w:t xml:space="preserve"> </w:t>
      </w:r>
      <w:r>
        <w:rPr>
          <w:bCs/>
          <w:b/>
        </w:rPr>
        <w:t xml:space="preserve">Business Consultant</w:t>
      </w:r>
      <w:r>
        <w:t xml:space="preserve"> </w:t>
      </w:r>
      <w:r>
        <w:t xml:space="preserve">has evolved from a mere advisor to a strategic partner essential for organizational survival and growth. This report provides an in-depth analysis of consultancy methodologies, specifically tailored to the unique economic and cultural context of</w:t>
      </w:r>
      <w:r>
        <w:t xml:space="preserve"> </w:t>
      </w:r>
      <w:r>
        <w:rPr>
          <w:bCs/>
          <w:b/>
        </w:rPr>
        <w:t xml:space="preserve">Germany Frankfurt</w:t>
      </w:r>
      <w:r>
        <w:t xml:space="preserve">. As one of Europe’s leading financial centers and home to the European Central Bank, Deutsche Börse, and numerous multinational corporations, Frankfurt presents a distinct ecosystem for professional services. Understanding how a</w:t>
      </w:r>
      <w:r>
        <w:t xml:space="preserve"> </w:t>
      </w:r>
      <w:r>
        <w:rPr>
          <w:bCs/>
          <w:b/>
        </w:rPr>
        <w:t xml:space="preserve">Business Consultant</w:t>
      </w:r>
      <w:r>
        <w:t xml:space="preserve"> </w:t>
      </w:r>
      <w:r>
        <w:t xml:space="preserve">operates within this specific geographic locale is crucial for stakeholders aiming to leverage external expertise effectively.</w:t>
      </w:r>
    </w:p>
    <w:p>
      <w:pPr>
        <w:pStyle w:val="BodyText"/>
      </w:pPr>
      <w:r>
        <w:t xml:space="preserve">This document serves as both a theoretical review of consultancy best practices and a practical guide applicable to the</w:t>
      </w:r>
      <w:r>
        <w:t xml:space="preserve"> </w:t>
      </w:r>
      <w:r>
        <w:rPr>
          <w:bCs/>
          <w:b/>
        </w:rPr>
        <w:t xml:space="preserve">Germany Frankfurt</w:t>
      </w:r>
      <w:r>
        <w:t xml:space="preserve"> </w:t>
      </w:r>
      <w:r>
        <w:t xml:space="preserve">market. It explores the intersection of global consulting frameworks with local German business norms, regulatory environments, and cultural expectations. By focusing on these elements, we aim to provide a comprehensive understanding of how value is created in this high-stakes environment.</w:t>
      </w:r>
    </w:p>
    <w:bookmarkEnd w:id="20"/>
    <w:bookmarkStart w:id="21" w:name="X4130d72415a0293932f52b6aa26fd4e4124180b"/>
    <w:p>
      <w:pPr>
        <w:pStyle w:val="Heading2"/>
      </w:pPr>
      <w:r>
        <w:t xml:space="preserve">II. The Role of the Business Consultant in Modern Enterprise</w:t>
      </w:r>
    </w:p>
    <w:p>
      <w:pPr>
        <w:pStyle w:val="FirstParagraph"/>
      </w:pPr>
      <w:r>
        <w:t xml:space="preserve">A</w:t>
      </w:r>
      <w:r>
        <w:t xml:space="preserve"> </w:t>
      </w:r>
      <w:r>
        <w:rPr>
          <w:bCs/>
          <w:b/>
        </w:rPr>
        <w:t xml:space="preserve">Business Consultant</w:t>
      </w:r>
      <w:r>
        <w:t xml:space="preserve"> </w:t>
      </w:r>
      <w:r>
        <w:t xml:space="preserve">is fundamentally a problem solver. However, the nature of problems has shifted from operational inefficiencies to strategic transformation and digital innovation. In traditional models, consultants were hired to cut costs or restructure departments. Today, they are engaged to navigate regulatory changes, implement artificial intelligence solutions, and drive sustainable growth strategies.</w:t>
      </w:r>
    </w:p>
    <w:p>
      <w:pPr>
        <w:pStyle w:val="BodyText"/>
      </w:pPr>
      <w:r>
        <w:t xml:space="preserve">The core competencies of a successful</w:t>
      </w:r>
      <w:r>
        <w:t xml:space="preserve"> </w:t>
      </w:r>
      <w:r>
        <w:rPr>
          <w:bCs/>
          <w:b/>
        </w:rPr>
        <w:t xml:space="preserve">Business Consultant</w:t>
      </w:r>
      <w:r>
        <w:t xml:space="preserve"> </w:t>
      </w:r>
      <w:r>
        <w:t xml:space="preserve">include:</w:t>
      </w:r>
    </w:p>
    <w:p>
      <w:pPr>
        <w:numPr>
          <w:ilvl w:val="0"/>
          <w:numId w:val="1001"/>
        </w:numPr>
        <w:pStyle w:val="Compact"/>
      </w:pPr>
      <w:r>
        <w:rPr>
          <w:bCs/>
          <w:b/>
        </w:rPr>
        <w:t xml:space="preserve">Analytical Rigor:</w:t>
      </w:r>
      <w:r>
        <w:t xml:space="preserve"> </w:t>
      </w:r>
      <w:r>
        <w:t xml:space="preserve">The ability to process large datasets and derive actionable insights.</w:t>
      </w:r>
    </w:p>
    <w:p>
      <w:pPr>
        <w:numPr>
          <w:ilvl w:val="0"/>
          <w:numId w:val="1001"/>
        </w:numPr>
        <w:pStyle w:val="Compact"/>
      </w:pPr>
      <w:r>
        <w:rPr>
          <w:iCs/>
          <w:i/>
        </w:rPr>
        <w:t xml:space="preserve">Cultural Intelligence:</w:t>
      </w:r>
      <w:r>
        <w:t xml:space="preserve"> </w:t>
      </w:r>
      <w:r>
        <w:t xml:space="preserve">The capacity to understand and adapt to diverse corporate cultures, which is particularly critical in international hubs like</w:t>
      </w:r>
      <w:r>
        <w:t xml:space="preserve"> </w:t>
      </w:r>
      <w:r>
        <w:rPr>
          <w:bCs/>
          <w:b/>
        </w:rPr>
        <w:t xml:space="preserve">Germany Frankfurt</w:t>
      </w:r>
      <w:r>
        <w:t xml:space="preserve">.</w:t>
      </w:r>
    </w:p>
    <w:p>
      <w:pPr>
        <w:pStyle w:val="FirstParagraph"/>
      </w:pPr>
      <w:r>
        <w:t xml:space="preserve">Data Visualization:</w:t>
      </w:r>
    </w:p>
    <w:p>
      <w:pPr>
        <w:pStyle w:val="BodyText"/>
      </w:pPr>
      <w:r>
        <w:t xml:space="preserve">Communicating complex findings clearly to stakeholders via dashboards and presentations.</w:t>
      </w:r>
      <w:r>
        <w:rPr>
          <w:bCs/>
          <w:b/>
        </w:rPr>
        <w:t xml:space="preserve">Schange Management:</w:t>
      </w:r>
      <w:r>
        <w:t xml:space="preserve"> </w:t>
      </w:r>
      <w:r>
        <w:t xml:space="preserve">Golding organizations through transition phases with minimal disruption.</w:t>
      </w:r>
    </w:p>
    <w:bookmarkEnd w:id="21"/>
    <w:bookmarkStart w:id="22" w:name="X048e44439f355250d3da040411d266b47b2077a"/>
    <w:p>
      <w:pPr>
        <w:pStyle w:val="Heading2"/>
      </w:pPr>
      <w:r>
        <w:t xml:space="preserve">III. The Unique Economic Landscape of Germany Frankfurt</w:t>
      </w:r>
    </w:p>
    <w:p>
      <w:pPr>
        <w:pStyle w:val="FirstParagraph"/>
      </w:pPr>
      <w:r>
        <w:t xml:space="preserve">To understand the consultancy market in</w:t>
      </w:r>
      <w:r>
        <w:t xml:space="preserve"> </w:t>
      </w:r>
      <w:r>
        <w:rPr>
          <w:bCs/>
          <w:b/>
        </w:rPr>
        <w:t xml:space="preserve">Germany Frankfurt</w:t>
      </w:r>
      <w:r>
        <w:t xml:space="preserve">, one must first appreciate its economic significance. Known as "Mainhattan" due to its skyline of skyscrapers, Frankfurt is not only a financial powerhouse but also a logistics hub and a gateway to Central Europe. This concentration of financial institutions creates a high demand for specialized consulting services.</w:t>
      </w:r>
    </w:p>
    <w:p>
      <w:pPr>
        <w:pStyle w:val="BodyText"/>
      </w:pPr>
      <w:r>
        <w:rPr>
          <w:bCs/>
          <w:b/>
        </w:rPr>
        <w:t xml:space="preserve">A. Regulatory Complexity</w:t>
      </w:r>
    </w:p>
    <w:p>
      <w:pPr>
        <w:pStyle w:val="BodyText"/>
      </w:pPr>
      <w:r>
        <w:t xml:space="preserve">The</w:t>
      </w:r>
      <w:r>
        <w:t xml:space="preserve"> </w:t>
      </w:r>
      <w:r>
        <w:rPr>
          <w:bCs/>
          <w:b/>
        </w:rPr>
        <w:t xml:space="preserve">Germany Frankfurt</w:t>
      </w:r>
      <w:r>
        <w:t xml:space="preserve"> </w:t>
      </w:r>
      <w:r>
        <w:t xml:space="preserve">market is heavily regulated, particularly by the Bundesbank and BaFin (Federal Financial Supervisory Authority). A</w:t>
      </w:r>
      <w:r>
        <w:t xml:space="preserve"> </w:t>
      </w:r>
      <w:r>
        <w:rPr>
          <w:bCs/>
          <w:b/>
        </w:rPr>
        <w:t xml:space="preserve">Business Consultant</w:t>
      </w:r>
    </w:p>
    <w:p>
      <w:pPr>
        <w:pStyle w:val="BodyText"/>
      </w:pPr>
      <w:r>
        <w:rPr>
          <w:bCs/>
          <w:b/>
        </w:rPr>
        <w:t xml:space="preserve">B. Cultural Nuances</w:t>
      </w:r>
    </w:p>
    <w:p>
      <w:pPr>
        <w:pStyle w:val="BodyText"/>
      </w:pPr>
      <w:r>
        <w:t xml:space="preserve">German business culture is characterized by precision, punctuality, directness, and a high value placed on technical expertise. In</w:t>
      </w:r>
      <w:r>
        <w:t xml:space="preserve"> </w:t>
      </w:r>
      <w:r>
        <w:rPr>
          <w:bCs/>
          <w:b/>
        </w:rPr>
        <w:t xml:space="preserve">Germany Frankfurt, these traits are amplified among financial professionals. A</w:t>
      </w:r>
      <w:r>
        <w:rPr>
          <w:bCs/>
          <w:b/>
        </w:rPr>
        <w:t xml:space="preserve"> </w:t>
      </w:r>
      <w:r>
        <w:rPr>
          <w:bCs/>
          <w:b/>
          <w:bCs/>
          <w:b/>
        </w:rPr>
        <w:t xml:space="preserve">Business Consultant</w:t>
      </w:r>
    </w:p>
    <w:p>
      <w:pPr>
        <w:pStyle w:val="BodyText"/>
      </w:pPr>
      <w:r>
        <w:rPr>
          <w:bCs/>
          <w:b/>
        </w:rPr>
        <w:t xml:space="preserve">C. Competitive Density</w:t>
      </w:r>
    </w:p>
    <w:p>
      <w:pPr>
        <w:pStyle w:val="BodyText"/>
      </w:pPr>
      <w:r>
        <w:t xml:space="preserve">The market in</w:t>
      </w:r>
    </w:p>
    <w:p>
      <w:pPr>
        <w:pStyle w:val="BodyText"/>
      </w:pPr>
      <w:r>
        <w:t xml:space="preserve">Germany Frankfurt is saturated with top-tier consulting firms, including McKinsey, BCG, and Bain, as well as specialized boutique firms focusing on fintech and banking. For a new or mid-sized</w:t>
      </w:r>
    </w:p>
    <w:p>
      <w:pPr>
        <w:pStyle w:val="BodyText"/>
      </w:pPr>
      <w:r>
        <w:t xml:space="preserve">Business Consultant, differentiation is key. This requires niche expertise in areas such as blockchain technology, ESG (Environmental, Social, and Governance) reporting within financial sectors.</w:t>
      </w:r>
    </w:p>
    <w:bookmarkEnd w:id="22"/>
    <w:bookmarkStart w:id="23" w:name="X061031000129414a2bf58b6121ba3f5716fb194"/>
    <w:p>
      <w:pPr>
        <w:pStyle w:val="Heading2"/>
      </w:pPr>
      <w:r>
        <w:t xml:space="preserve">IV. Strategic Frameworks for Consultancy in Frankfurt</w:t>
      </w:r>
    </w:p>
    <w:p>
      <w:pPr>
        <w:pStyle w:val="FirstParagraph"/>
      </w:pPr>
      <w:r>
        <w:t xml:space="preserve">The following frameworks are recommended for</w:t>
      </w:r>
      <w:r>
        <w:t xml:space="preserve"> </w:t>
      </w:r>
      <w:r>
        <w:rPr>
          <w:bCs/>
          <w:b/>
        </w:rPr>
        <w:t xml:space="preserve">Business Consultants</w:t>
      </w:r>
      <w:r>
        <w:t xml:space="preserve">Germany Frankfurt</w:t>
      </w:r>
    </w:p>
    <w:p>
      <w:pPr>
        <w:numPr>
          <w:ilvl w:val="0"/>
          <w:numId w:val="1002"/>
        </w:numPr>
        <w:pStyle w:val="Compact"/>
      </w:pPr>
      <w:r>
        <w:t xml:space="preserve">The 360-Degree Compliance Review: Given the regulatory focus, every strategic recommendation must pass a compliance filter. This involves auditing proposed business models against current EU and German laws.</w:t>
      </w:r>
    </w:p>
    <w:bookmarkEnd w:id="23"/>
    <w:bookmarkStart w:id="24" w:name="v.-case-study-application"/>
    <w:p>
      <w:pPr>
        <w:pStyle w:val="Heading2"/>
      </w:pPr>
      <w:r>
        <w:t xml:space="preserve">V. Case Study Application</w:t>
      </w:r>
    </w:p>
    <w:p>
      <w:pPr>
        <w:pStyle w:val="FirstParagraph"/>
      </w:pPr>
      <w:r>
        <w:t xml:space="preserve">To illustrate these concepts, consider a hypothetical scenario involving a mid-sized private bank in</w:t>
      </w:r>
      <w:r>
        <w:t xml:space="preserve"> </w:t>
      </w:r>
      <w:r>
        <w:rPr>
          <w:bCs/>
          <w:b/>
        </w:rPr>
        <w:t xml:space="preserve">Germany Frankfurt</w:t>
      </w:r>
      <w:r>
        <w:t xml:space="preserve">Business Consultant</w:t>
      </w:r>
    </w:p>
    <w:p>
      <w:pPr>
        <w:pStyle w:val="BodyText"/>
      </w:pPr>
      <w:r>
        <w:t xml:space="preserve">The consultant would then identify regulatory hurdles related to data privacy and cross-border transactions within the EU. By proposing a phased rollout that prioritizes security and compliance, the consultant ensures that the innovation is sustainable. Furthermore, by training local staff in agile methodologies, the consultant facilitates cultural adoption of new technologies. This holistic approach demonstrates how a</w:t>
      </w:r>
      <w:r>
        <w:t xml:space="preserve"> </w:t>
      </w:r>
      <w:r>
        <w:rPr>
          <w:bCs/>
          <w:b/>
        </w:rPr>
        <w:t xml:space="preserve">Business Consultant</w:t>
      </w:r>
      <w:r>
        <w:t xml:space="preserve">Germany Frankfurt</w:t>
      </w:r>
    </w:p>
    <w:bookmarkEnd w:id="24"/>
    <w:bookmarkStart w:id="25" w:name="v.-conclusion-and-recommendations"/>
    <w:p>
      <w:pPr>
        <w:pStyle w:val="Heading2"/>
      </w:pPr>
      <w:r>
        <w:t xml:space="preserve">V. Conclusion and Recommendations</w:t>
      </w:r>
    </w:p>
    <w:p>
      <w:pPr>
        <w:pStyle w:val="FirstParagraph"/>
      </w:pPr>
      <w:r>
        <w:t xml:space="preserve">In conclusion, the role of the</w:t>
      </w:r>
    </w:p>
    <w:p>
      <w:pPr>
        <w:pStyle w:val="BodyText"/>
      </w:pPr>
      <w:r>
        <w:t xml:space="preserve">Business ConsultantGermany Frankfurt. Success in this market requires a blend of strategic vision, regulatory expertise, and cultural sensitivity. Organizations seeking consultancy services should prioritize partners who demonstrate a deep understanding of local nuances alongside global best practices.</w:t>
      </w:r>
    </w:p>
    <w:p>
      <w:pPr>
        <w:pStyle w:val="BodyText"/>
      </w:pPr>
      <w:r>
        <w:t xml:space="preserve">For practitioners aspiring to become effective</w:t>
      </w:r>
      <w:r>
        <w:t xml:space="preserve"> </w:t>
      </w:r>
      <w:r>
        <w:rPr>
          <w:bCs/>
          <w:b/>
        </w:rPr>
        <w:t xml:space="preserve">Business Consultants</w:t>
      </w:r>
      <w:r>
        <w:t xml:space="preserve">Germany Frankfurt, continuous learning in regulatory affairs and digital technologies is essential. By adhering to the frameworks outlined in this report, consultants can deliver transformative results that enhance organizational resilience and competitiveness. The future of consultancy lies not just in advising change but in enabling sustainable adaptation within the unique economic ecosystem of Frankfurt.</w:t>
      </w:r>
    </w:p>
    <w:p>
      <w:r>
        <w:pict>
          <v:rect style="width:0;height:1.5pt" o:hralign="center" o:hrstd="t" o:hr="t"/>
        </w:pict>
      </w:r>
    </w:p>
    <w:p>
      <w:pPr>
        <w:pStyle w:val="FirstParagraph"/>
      </w:pPr>
      <w:r>
        <w:rPr>
          <w:iCs/>
          <w:i/>
        </w:rPr>
        <w:t xml:space="preserve">This Book Report has been compiled to provide strategic insights for professionals operating within or entering the</w:t>
      </w:r>
      <w:r>
        <w:rPr>
          <w:iCs/>
          <w:i/>
        </w:rPr>
        <w:t xml:space="preserve"> </w:t>
      </w:r>
      <w:r>
        <w:rPr>
          <w:bCs/>
          <w:b/>
          <w:iCs/>
          <w:i/>
        </w:rPr>
        <w:t xml:space="preserve">Business Consultant</w:t>
      </w:r>
      <w:r>
        <w:rPr>
          <w:iCs/>
          <w:i/>
        </w:rPr>
        <w:t xml:space="preserve">Germany Frankfurt</w:t>
      </w:r>
      <w:r>
        <w:t xml:space="preserve">. It highlights the critical intersection of global consulting standards with local market dynamics, offering a roadmap for success in one of Europe’s most vital financial centers.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Germany Frankfurt</dc:title>
  <dc:creator/>
  <dc:language>en</dc:language>
  <cp:keywords/>
  <dcterms:created xsi:type="dcterms:W3CDTF">2026-07-29T18:05:40Z</dcterms:created>
  <dcterms:modified xsi:type="dcterms:W3CDTF">2026-07-29T18:05:40Z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