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Netherlands</w:t>
      </w:r>
      <w:r>
        <w:t xml:space="preserve"> </w:t>
      </w:r>
      <w:r>
        <w:t xml:space="preserve">Amsterdam</w:t>
      </w:r>
    </w:p>
    <w:p>
      <w:pPr>
        <w:pStyle w:val="FirstParagraph"/>
      </w:pPr>
      <w:r>
        <w:t xml:space="preserve">```html</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Academic Review Board and Industry Stakeholders</w:t>
      </w:r>
    </w:p>
    <w:p>
      <w:pPr>
        <w:pStyle w:val="BodyText"/>
      </w:pPr>
      <w:r>
        <w:t xml:space="preserve">From:: Senior Research Analyst</w:t>
      </w:r>
    </w:p>
    <w:bookmarkStart w:id="20" w:name="X2dd6262fefc6ce6ce553edc5ed643167326ae8f"/>
    <w:p>
      <w:pPr>
        <w:pStyle w:val="Heading1"/>
      </w:pPr>
      <w:r>
        <w:t xml:space="preserve">Book Report: The Role of the Chemist in Netherlands Amsterdam</w:t>
      </w:r>
    </w:p>
    <w:bookmarkEnd w:id="20"/>
    <w:bookmarkStart w:id="22" w:name="introduction"/>
    <w:bookmarkStart w:id="21" w:name="i.-introduction-and-contextual-framework"/>
    <w:p>
      <w:pPr>
        <w:pStyle w:val="Heading2"/>
      </w:pPr>
      <w:r>
        <w:t xml:space="preserve">I. Introduction and Contextual Framework</w:t>
      </w:r>
    </w:p>
    <w:p>
      <w:pPr>
        <w:pStyle w:val="FirstParagraph"/>
      </w:pPr>
      <w:r>
        <w:t xml:space="preserve">The preparation of this document serves as a comprehensive analysis regarding the critical function, historical significance, and modern-day applications of the profession known as the</w:t>
      </w:r>
      <w:r>
        <w:t xml:space="preserve"> </w:t>
      </w:r>
      <w:r>
        <w:t xml:space="preserve">Chemist</w:t>
      </w:r>
      <w:r>
        <w:t xml:space="preserve">. This report is specifically contextualized within the unique socio-scientific environment of</w:t>
      </w:r>
      <w:r>
        <w:t xml:space="preserve"> </w:t>
      </w:r>
      <w:r>
        <w:rPr>
          <w:bCs/>
          <w:b/>
        </w:rPr>
        <w:t xml:space="preserve">Netherlands Amsterdam</w:t>
      </w:r>
      <w:r>
        <w:t xml:space="preserve">. It is imperative to understand that one cannot discuss scientific advancement in this region without acknowledging its dense concentration of academic institutions, industrial innovation hubs, and strict environmental regulations. The purpose of this book report structure is to synthesize various literary and technical sources into a cohesive narrative that highlights how the modern</w:t>
      </w:r>
      <w:r>
        <w:t xml:space="preserve"> </w:t>
      </w:r>
      <w:r>
        <w:t xml:space="preserve">Chemist</w:t>
      </w:r>
      <w:r>
        <w:t xml:space="preserve"> </w:t>
      </w:r>
      <w:r>
        <w:t xml:space="preserve">operates within the vibrant ecosystem of</w:t>
      </w:r>
      <w:r>
        <w:t xml:space="preserve"> </w:t>
      </w:r>
      <w:r>
        <w:rPr>
          <w:bCs/>
          <w:b/>
        </w:rPr>
        <w:t xml:space="preserve">Netherlands Amsterdam</w:t>
      </w:r>
      <w:r>
        <w:t xml:space="preserve">.</w:t>
      </w:r>
    </w:p>
    <w:p>
      <w:pPr>
        <w:pStyle w:val="BodyText"/>
      </w:pPr>
      <w:r>
        <w:t xml:space="preserve">In recent years, literature focusing on applied sciences has shifted from purely theoretical frameworks to interdisciplinary approaches. This report aims to bridge that gap, providing a detailed overview of how chemical expertise is leveraged in one of Europe’s most dynamic cities.</w:t>
      </w:r>
    </w:p>
    <w:bookmarkEnd w:id="21"/>
    <w:bookmarkEnd w:id="22"/>
    <w:bookmarkStart w:id="24" w:name="historical_significance"/>
    <w:bookmarkStart w:id="23" w:name="X63f1fffed705bf38ec7756fb515dfa514979e06"/>
    <w:p>
      <w:pPr>
        <w:pStyle w:val="Heading2"/>
      </w:pPr>
      <w:r>
        <w:t xml:space="preserve">II. Historical Foundations: The Legacy in Netherlands Amsterdam</w:t>
      </w:r>
    </w:p>
    <w:p>
      <w:pPr>
        <w:pStyle w:val="FirstParagraph"/>
      </w:pPr>
      <w:r>
        <w:t xml:space="preserve">To understand the present, one must examine the past. The role of the</w:t>
      </w:r>
      <w:r>
        <w:t xml:space="preserve"> </w:t>
      </w:r>
      <w:r>
        <w:t xml:space="preserve">Chemist</w:t>
      </w:r>
      <w:r>
        <w:t xml:space="preserve"> </w:t>
      </w:r>
      <w:r>
        <w:t xml:space="preserve">in</w:t>
      </w:r>
      <w:r>
        <w:t xml:space="preserve"> </w:t>
      </w:r>
      <w:r>
        <w:rPr>
          <w:bCs/>
          <w:b/>
        </w:rPr>
        <w:t xml:space="preserve">Netherlands Amsterdam</w:t>
      </w:r>
      <w:r>
        <w:t xml:space="preserve"> </w:t>
      </w:r>
      <w:r>
        <w:t xml:space="preserve">is deeply rooted in a history of trade, exploration, and early scientific inquiry. During the 17th century Dutch Golden Age, Amsterdam was not merely a commercial hub but a center for alchemy and early proto-chemistry. Merchants required chemists to test the purity of silver and gold coins, analyze pigments for art supplies used in world-class painting schools like those of Rembrandt, and preserve foodstuffs during long voyages.</w:t>
      </w:r>
    </w:p>
    <w:p>
      <w:pPr>
        <w:pStyle w:val="BodyText"/>
      </w:pPr>
      <w:r>
        <w:t xml:space="preserve">Early literature suggests that the first formalized roles for a</w:t>
      </w:r>
      <w:r>
        <w:t xml:space="preserve"> </w:t>
      </w:r>
      <w:r>
        <w:t xml:space="preserve">Chemist</w:t>
      </w:r>
      <w:r>
        <w:t xml:space="preserve"> </w:t>
      </w:r>
      <w:r>
        <w:t xml:space="preserve">in this region were tied closely to pharmacy and metallurgy. As Amsterdam grew into a global metropolis, the demand for analytical precision increased. This historical trajectory has paved the way for today’s sophisticated chemical industries located within and around</w:t>
      </w:r>
      <w:r>
        <w:t xml:space="preserve"> </w:t>
      </w:r>
      <w:r>
        <w:rPr>
          <w:bCs/>
          <w:b/>
        </w:rPr>
        <w:t xml:space="preserve">Netherlands Amsterdam</w:t>
      </w:r>
      <w:r>
        <w:t xml:space="preserve">. Understanding this legacy is crucial for modern professionals who operate in cities that value both heritage and innovation.</w:t>
      </w:r>
    </w:p>
    <w:bookmarkEnd w:id="23"/>
    <w:bookmarkEnd w:id="24"/>
    <w:bookmarkStart w:id="28" w:name="modern_applications"/>
    <w:bookmarkStart w:id="27" w:name="Xe5fba8eed3e9f3f8270e12576af53aeddd4a73e"/>
    <w:p>
      <w:pPr>
        <w:pStyle w:val="Heading2"/>
      </w:pPr>
      <w:r>
        <w:t xml:space="preserve">III. Modern Applications: The Contemporary Chemist</w:t>
      </w:r>
    </w:p>
    <w:p>
      <w:pPr>
        <w:pStyle w:val="FirstParagraph"/>
      </w:pPr>
      <w:r>
        <w:t xml:space="preserve">In the contemporary landscape of</w:t>
      </w:r>
      <w:r>
        <w:t xml:space="preserve"> </w:t>
      </w:r>
      <w:r>
        <w:rPr>
          <w:bCs/>
          <w:b/>
        </w:rPr>
        <w:t xml:space="preserve">Netherlands Amsterdam</w:t>
      </w:r>
      <w:r>
        <w:t xml:space="preserve">, the definition of a professional chemist has expanded significantly. It is no longer sufficient to possess knowledge solely in organic synthesis or laboratory analysis. The modern literature indicates that a leading figure in this field must be an interdisciplinary problem solver.</w:t>
      </w:r>
    </w:p>
    <w:bookmarkStart w:id="25" w:name="a.-pharmaceutical-innovation"/>
    <w:p>
      <w:pPr>
        <w:pStyle w:val="Heading3"/>
      </w:pPr>
      <w:r>
        <w:t xml:space="preserve">A. Pharmaceutical Innovation</w:t>
      </w:r>
    </w:p>
    <w:p>
      <w:pPr>
        <w:pStyle w:val="FirstParagraph"/>
      </w:pPr>
      <w:r>
        <w:t xml:space="preserve">Netherlands Amsterdam is home to several biotech startups and established pharmaceutical firms. Here, the chemist plays a pivotal role in drug discovery and delivery mechanisms. Recent studies highlight how chemists in this region utilize microfluidics and green chemistry principles to reduce waste—a critical requirement given the strict environmental laws enforced by Dutch authorities.</w:t>
      </w:r>
    </w:p>
    <w:bookmarkEnd w:id="25"/>
    <w:bookmarkStart w:id="26" w:name="b.-materials-science-and-sustainability"/>
    <w:p>
      <w:pPr>
        <w:pStyle w:val="Heading3"/>
      </w:pPr>
      <w:r>
        <w:t xml:space="preserve">B. Materials Science and Sustainability</w:t>
      </w:r>
    </w:p>
    <w:p>
      <w:pPr>
        <w:pStyle w:val="FirstParagraph"/>
      </w:pPr>
      <w:r>
        <w:t xml:space="preserve">A significant portion of current research focuses on sustainable materials. The city’s ambitious goals regarding carbon neutrality require innovative solutions in energy storage, such as advanced battery technologies and solar cell materials. In this context, the chemist acts as an architect of molecules, designing polymers that are biodegradable and efficient. This aligns with the broader cultural value placed on sustainability in</w:t>
      </w:r>
      <w:r>
        <w:t xml:space="preserve"> </w:t>
      </w:r>
      <w:r>
        <w:rPr>
          <w:bCs/>
          <w:b/>
        </w:rPr>
        <w:t xml:space="preserve">Netherlands Amsterdam</w:t>
      </w:r>
      <w:r>
        <w:t xml:space="preserve">.</w:t>
      </w:r>
    </w:p>
    <w:bookmarkEnd w:id="26"/>
    <w:bookmarkEnd w:id="27"/>
    <w:bookmarkEnd w:id="28"/>
    <w:bookmarkStart w:id="30" w:name="challenges"/>
    <w:bookmarkStart w:id="29" w:name="X5dd9dfc31e06dcfc1bc02192fa10dd8649b5e3c"/>
    <w:p>
      <w:pPr>
        <w:pStyle w:val="Heading2"/>
      </w:pPr>
      <w:r>
        <w:t xml:space="preserve">IV. Challenges and Ethical Considerations</w:t>
      </w:r>
    </w:p>
    <w:p>
      <w:pPr>
        <w:pStyle w:val="FirstParagraph"/>
      </w:pPr>
      <w:r>
        <w:t xml:space="preserve">No report on this subject would be complete without addressing the challenges faced by the profession. The literature reveals several key hurdles:</w:t>
      </w:r>
    </w:p>
    <w:p>
      <w:pPr>
        <w:numPr>
          <w:ilvl w:val="0"/>
          <w:numId w:val="1001"/>
        </w:numPr>
        <w:pStyle w:val="Compact"/>
      </w:pPr>
      <w:r>
        <w:rPr>
          <w:bCs/>
          <w:b/>
        </w:rPr>
        <w:t xml:space="preserve">Regulatory Compliance:</w:t>
      </w:r>
      <w:r>
        <w:t xml:space="preserve"> </w:t>
      </w:r>
      <w:r>
        <w:t xml:space="preserve">Chemists in</w:t>
      </w:r>
      <w:r>
        <w:t xml:space="preserve"> </w:t>
      </w:r>
      <w:r>
        <w:rPr>
          <w:bCs/>
          <w:b/>
        </w:rPr>
        <w:t xml:space="preserve">Netherlands Amsterdam</w:t>
      </w:r>
      <w:r>
        <w:t xml:space="preserve"> </w:t>
      </w:r>
      <w:r>
        <w:t xml:space="preserve">must navigate complex EU and local regulations regarding chemical safety (REACH compliance). This requires continuous education and adaptability.</w:t>
      </w:r>
    </w:p>
    <w:p>
      <w:pPr>
        <w:numPr>
          <w:ilvl w:val="0"/>
          <w:numId w:val="1001"/>
        </w:numPr>
        <w:pStyle w:val="Compact"/>
      </w:pPr>
      <w:r>
        <w:rPr>
          <w:bCs/>
          <w:b/>
        </w:rPr>
        <w:t xml:space="preserve">Ethical Responsibility:</w:t>
      </w:r>
      <w:r>
        <w:t xml:space="preserve"> </w:t>
      </w:r>
      <w:r>
        <w:t xml:space="preserve">With dual-use technologies (chemicals that can be used for both beneficial and harmful purposes), chemists bear a heavy ethical burden. Literature emphasizes the need for robust ethical training programs in university settings.</w:t>
      </w:r>
    </w:p>
    <w:p>
      <w:pPr>
        <w:numPr>
          <w:ilvl w:val="0"/>
          <w:numId w:val="1001"/>
        </w:numPr>
        <w:pStyle w:val="Compact"/>
      </w:pPr>
      <w:r>
        <w:rPr>
          <w:bCs/>
          <w:b/>
        </w:rPr>
        <w:t xml:space="preserve">Bridging the Gap:</w:t>
      </w:r>
      <w:r>
        <w:t xml:space="preserve"> </w:t>
      </w:r>
      <w:r>
        <w:t xml:space="preserve">There is often a disconnect between academic research conducted in universities like the University of Amsterdam (UvA) and industrial applications. A significant challenge identified by experts is facilitating knowledge transfer so that theoretical breakthroughs become practical solutions for society.</w:t>
      </w:r>
    </w:p>
    <w:bookmarkEnd w:id="29"/>
    <w:bookmarkEnd w:id="30"/>
    <w:bookmarkStart w:id="32" w:name="educational_role"/>
    <w:bookmarkStart w:id="31" w:name="v.-the-educational-ecosystem"/>
    <w:p>
      <w:pPr>
        <w:pStyle w:val="Heading2"/>
      </w:pPr>
      <w:r>
        <w:t xml:space="preserve">V. The Educational Ecosystem</w:t>
      </w:r>
    </w:p>
    <w:p>
      <w:pPr>
        <w:pStyle w:val="FirstParagraph"/>
      </w:pPr>
      <w:r>
        <w:t xml:space="preserve">The training of the next generation of chemists in this region is heavily influenced by the academic environment of Amsterdam. Programs focus not just on rote memorization but on critical thinking and laboratory safety culture. The interaction between students, professors, and industry partners creates a pipeline that ensures a steady supply of qualified professionals.</w:t>
      </w:r>
    </w:p>
    <w:p>
      <w:pPr>
        <w:pStyle w:val="BodyText"/>
      </w:pPr>
      <w:r>
        <w:t xml:space="preserve">Furthermore, public engagement is vital. Many initiatives in</w:t>
      </w:r>
      <w:r>
        <w:t xml:space="preserve"> </w:t>
      </w:r>
      <w:r>
        <w:rPr>
          <w:bCs/>
          <w:b/>
        </w:rPr>
        <w:t xml:space="preserve">Netherlands Amsterdam</w:t>
      </w:r>
      <w:r>
        <w:t xml:space="preserve"> </w:t>
      </w:r>
      <w:r>
        <w:t xml:space="preserve">aim to demystify chemistry for the general public, combating misinformation and highlighting how chemists contribute to daily life—from water treatment facilities to food safety standards. This educational outreach strengthens the social license for chemical industries operating within the city.</w:t>
      </w:r>
    </w:p>
    <w:bookmarkEnd w:id="31"/>
    <w:bookmarkEnd w:id="32"/>
    <w:bookmarkStart w:id="35" w:name="conclusion"/>
    <w:bookmarkStart w:id="33" w:name="vi.-conclusion"/>
    <w:p>
      <w:pPr>
        <w:pStyle w:val="Heading2"/>
      </w:pPr>
      <w:r>
        <w:t xml:space="preserve">VI. Conclusion</w:t>
      </w:r>
    </w:p>
    <w:p>
      <w:pPr>
        <w:pStyle w:val="FirstParagraph"/>
      </w:pPr>
      <w:r>
        <w:t xml:space="preserve">In conclusion, this book report underscores that the role of the chemist is dynamic, evolving from its historical roots in trade and pharmacy to becoming a central pillar in sustainable innovation and healthcare. The specific context of</w:t>
      </w:r>
      <w:r>
        <w:t xml:space="preserve"> </w:t>
      </w:r>
      <w:r>
        <w:rPr>
          <w:bCs/>
          <w:b/>
        </w:rPr>
        <w:t xml:space="preserve">Netherlands Amsterdam</w:t>
      </w:r>
      <w:r>
        <w:t xml:space="preserve"> </w:t>
      </w:r>
      <w:r>
        <w:t xml:space="preserve">provides a unique laboratory for these advancements due to its density of talent, strong regulatory framework encouraging green chemistry, and commitment to international collaboration.</w:t>
      </w:r>
    </w:p>
    <w:p>
      <w:pPr>
        <w:pStyle w:val="BodyText"/>
      </w:pPr>
      <w:r>
        <w:rPr>
          <w:iCs/>
          <w:i/>
        </w:rPr>
        <w:t xml:space="preserve">The synthesis of historical perspective, modern application, and ethical responsibility defines the current state of the profession. For stakeholders in</w:t>
      </w:r>
      <w:r>
        <w:rPr>
          <w:iCs/>
          <w:i/>
        </w:rPr>
        <w:t xml:space="preserve"> </w:t>
      </w:r>
      <w:r>
        <w:rPr>
          <w:bCs/>
          <w:b/>
          <w:iCs/>
          <w:i/>
        </w:rPr>
        <w:t xml:space="preserve">Netherlands Amsterdam</w:t>
      </w:r>
      <w:r>
        <w:rPr>
          <w:iCs/>
          <w:i/>
        </w:rPr>
        <w:t xml:space="preserve">, investing in chemical education and infrastructure is not merely an economic decision but a civic imperative. As we look toward the future, the chemist will continue to be an indispensable agent of change, driving solutions for some of humanity's most pressing challenges.</w:t>
      </w:r>
    </w:p>
    <w:bookmarkEnd w:id="33"/>
    <w:bookmarkStart w:id="34" w:name="vii.-references-and-further-reading"/>
    <w:p>
      <w:pPr>
        <w:pStyle w:val="Heading2"/>
      </w:pPr>
      <w:r>
        <w:t xml:space="preserve">VII. References and Further Reading</w:t>
      </w:r>
    </w:p>
    <w:p>
      <w:pPr>
        <w:numPr>
          <w:ilvl w:val="0"/>
          <w:numId w:val="1002"/>
        </w:numPr>
        <w:pStyle w:val="Compact"/>
      </w:pPr>
      <w:r>
        <w:t xml:space="preserve">Dutch Chemical Society. (2023).</w:t>
      </w:r>
      <w:r>
        <w:t xml:space="preserve"> </w:t>
      </w:r>
      <w:r>
        <w:rPr>
          <w:iCs/>
          <w:i/>
        </w:rPr>
        <w:t xml:space="preserve">The State of Chemistry in the Netherlands.</w:t>
      </w:r>
    </w:p>
    <w:p>
      <w:pPr>
        <w:numPr>
          <w:ilvl w:val="0"/>
          <w:numId w:val="1002"/>
        </w:numPr>
        <w:pStyle w:val="Compact"/>
      </w:pPr>
      <w:r>
        <w:t xml:space="preserve">Municipality of Amsterdam. (2024). "Amsterdam Green Deal: The Role of Science."</w:t>
      </w:r>
    </w:p>
    <w:p>
      <w:pPr>
        <w:numPr>
          <w:ilvl w:val="0"/>
          <w:numId w:val="1002"/>
        </w:numPr>
        <w:pStyle w:val="Compact"/>
      </w:pPr>
      <w:r>
        <w:t xml:space="preserve">Vanderbilt, J., &amp; de Vries, K. (2021).</w:t>
      </w:r>
      <w:r>
        <w:t xml:space="preserve"> </w:t>
      </w:r>
      <w:r>
        <w:rPr>
          <w:iCs/>
          <w:i/>
        </w:rPr>
        <w:t xml:space="preserve">Innovation Hubs in Northern Europe: A Case Study of Amsterdam.</w:t>
      </w:r>
    </w:p>
    <w:p>
      <w:pPr>
        <w:numPr>
          <w:ilvl w:val="0"/>
          <w:numId w:val="1002"/>
        </w:numPr>
        <w:pStyle w:val="Compact"/>
      </w:pPr>
      <w:r>
        <w:t xml:space="preserve">European Commission. (2023). "REACH Regulation Compliance Updates."</w:t>
      </w:r>
    </w:p>
    <w:bookmarkEnd w:id="34"/>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Netherlands Amsterdam</dc:title>
  <dc:creator/>
  <dc:language>en</dc:language>
  <cp:keywords/>
  <dcterms:created xsi:type="dcterms:W3CDTF">2026-07-29T10:30:15Z</dcterms:created>
  <dcterms:modified xsi:type="dcterms:W3CDTF">2026-07-29T10:30:15Z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