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Malaysia</w:t>
      </w:r>
      <w:r>
        <w:t xml:space="preserve"> </w:t>
      </w:r>
      <w:r>
        <w:t xml:space="preserve">Kuala</w:t>
      </w:r>
      <w:r>
        <w:t xml:space="preserve"> </w:t>
      </w:r>
      <w:r>
        <w:t xml:space="preserve">Lumpur</w:t>
      </w:r>
    </w:p>
    <w:bookmarkStart w:id="27" w:name="X90520305921c45654614c54cc3c35a50dad4cf9"/>
    <w:p>
      <w:pPr>
        <w:pStyle w:val="Heading1"/>
      </w:pPr>
      <w:r>
        <w:rPr>
          <w:bCs/>
          <w:b/>
        </w:rPr>
        <w:t xml:space="preserve">Book Report:</w:t>
      </w:r>
      <w:r>
        <w:t xml:space="preserve"> </w:t>
      </w:r>
      <w:r>
        <w:t xml:space="preserve">Doctor General Practitioner in Urban Primary Care Networks</w:t>
      </w:r>
    </w:p>
    <w:p>
      <w:pPr>
        <w:pStyle w:val="FirstParagraph"/>
      </w:pPr>
      <w:r>
        <w:rPr>
          <w:bCs/>
          <w:b/>
        </w:rPr>
        <w:t xml:space="preserve">Title of Analysis:</w:t>
      </w:r>
      <w:r>
        <w:t xml:space="preserve">The Frontline Healer: Clinical Pathways, Community Trust, and System Integration for the Doctor General Practitioner</w:t>
      </w:r>
    </w:p>
    <w:p>
      <w:pPr>
        <w:pStyle w:val="BodyText"/>
      </w:pPr>
      <w:r>
        <w:rPr>
          <w:bCs/>
          <w:b/>
        </w:rPr>
        <w:t xml:space="preserve">Purpose of Document:</w:t>
      </w:r>
      <w:r>
        <w:t xml:space="preserve">A comprehensive Book Report designed for healthcare administrators, clinical educators, and policy planners operating within Malaysia Kuala Lumpur.</w:t>
      </w:r>
    </w:p>
    <w:p>
      <w:pPr>
        <w:pStyle w:val="BodyText"/>
      </w:pPr>
      <w:r>
        <w:rPr>
          <w:bCs/>
          <w:b/>
        </w:rPr>
        <w:t xml:space="preserve">Date Prepared:</w:t>
      </w:r>
      <w:r>
        <w:t xml:space="preserve">October 2024</w:t>
      </w:r>
    </w:p>
    <w:bookmarkStart w:id="20" w:name="i.-introduction-scope-of-the-book-report"/>
    <w:p>
      <w:pPr>
        <w:pStyle w:val="Heading2"/>
      </w:pPr>
      <w:r>
        <w:t xml:space="preserve">I. Introduction &amp; Scope of the Book Report</w:t>
      </w:r>
    </w:p>
    <w:p>
      <w:pPr>
        <w:pStyle w:val="FirstParagraph"/>
      </w:pPr>
      <w:r>
        <w:t xml:space="preserve">This document functions as a formal Book Report focused on the evolving clinical, administrative, and socio-cultural dimensions of primary healthcare delivery. While traditional book reports typically summarize literary or academic texts, this analytical report synthesizes current medical literature, public health guidelines, and urban clinic management studies to evaluate the role of a Doctor General Practitioner in contemporary practice. The primary objective is to translate theoretical frameworks into actionable strategies specifically tailored for the dynamic healthcare environment of Malaysia Kuala Lumpur. By examining clinical workflows, patient demographics, regulatory compliance, and digital integration methods, this Book Report provides a structured reference for practitioners seeking to optimize community-based care across the federal capital.</w:t>
      </w:r>
    </w:p>
    <w:bookmarkEnd w:id="20"/>
    <w:bookmarkStart w:id="21" w:name="ii.-executive-summary-thematic-overview"/>
    <w:p>
      <w:pPr>
        <w:pStyle w:val="Heading2"/>
      </w:pPr>
      <w:r>
        <w:t xml:space="preserve">II. Executive Summary &amp; Thematic Overview</w:t>
      </w:r>
    </w:p>
    <w:p>
      <w:pPr>
        <w:pStyle w:val="FirstParagraph"/>
      </w:pPr>
      <w:r>
        <w:t xml:space="preserve">The core literature reviewed in this Book Report centers on four interconnected pillars: first-contact accessibility, chronic disease management, continuity of care, and interdisciplinary collaboration. The text emphasizes that the Doctor General Practitioner serves not merely as a diagnostician for acute illnesses but as the architectural foundation of sustainable healthcare systems. Through epidemiological data and longitudinal case studies, the material demonstrates how effective general practice reduces emergency department overcrowding, lowers out-of-pocket medical expenditures, and improves long-term population health metrics. Furthermore, the Book Report highlights emerging trends such as telemedicine triage protocols, electronic health record interoperability standards, and culturally competent communication frameworks that directly influence patient adherence and satisfaction.</w:t>
      </w:r>
    </w:p>
    <w:bookmarkEnd w:id="21"/>
    <w:bookmarkStart w:id="22" w:name="X2a4963bdd1f96fca6f62457e90efda481e12372"/>
    <w:p>
      <w:pPr>
        <w:pStyle w:val="Heading2"/>
      </w:pPr>
      <w:r>
        <w:t xml:space="preserve">III. Critical Analysis: The Doctor General Practitioner Framework</w:t>
      </w:r>
    </w:p>
    <w:p>
      <w:pPr>
        <w:pStyle w:val="FirstParagraph"/>
      </w:pPr>
      <w:r>
        <w:t xml:space="preserve">A thorough examination of the Doctor General Practitioner reveals a profession undergoing significant transformation. Historically viewed as a catch-all practitioner for minor ailments, modern general practice demands specialized competencies in preventive medicine, geriatric syndromes, mental health screening, and pharmacological stewardship. The Book Report underscores that clinical decision-making must now balance evidence-based guidelines with individualized patient contexts. Antibiotic resistance patterns have shifted prescribing behaviors significantly; similarly, the rise of lifestyle-related conditions requires early intervention strategies rather than reactive treatment models. Additionally, the psychological resilience required to manage high patient volumes while maintaining empathetic bedside manner remains a central theme throughout the analyzed materials.</w:t>
      </w:r>
    </w:p>
    <w:bookmarkEnd w:id="22"/>
    <w:bookmarkStart w:id="23" w:name="Xa58983ea6b2935d10395cf38e89206b2c1fc539"/>
    <w:p>
      <w:pPr>
        <w:pStyle w:val="Heading2"/>
      </w:pPr>
      <w:r>
        <w:t xml:space="preserve">IV. Regional Adaptation: Implementation in Malaysia Kuala Lumpur</w:t>
      </w:r>
    </w:p>
    <w:p>
      <w:pPr>
        <w:pStyle w:val="FirstParagraph"/>
      </w:pPr>
      <w:r>
        <w:t xml:space="preserve">The successful deployment of this Book Report's recommendations requires contextual adaptation to the unique healthcare ecosystem of Malaysia Kuala Lumpur. As the nation's economic and demographic hub, KL presents a complex mix of private clinic networks, government outreach programs, and cross-border medical tourism infrastructure. The following local considerations must guide practical application:</w:t>
      </w:r>
    </w:p>
    <w:p>
      <w:pPr>
        <w:numPr>
          <w:ilvl w:val="0"/>
          <w:numId w:val="1001"/>
        </w:numPr>
        <w:pStyle w:val="Compact"/>
      </w:pPr>
      <w:r>
        <w:rPr>
          <w:bCs/>
          <w:b/>
        </w:rPr>
        <w:t xml:space="preserve">Demographic Diversity &amp; Linguistic Competency:</w:t>
      </w:r>
      <w:r>
        <w:t xml:space="preserve">The Doctor General Practitioner in Malaysia Kuala Lumpur routinely interacts with multilingual populations encompassing Malay, Chinese, Indian, expatriate, and migrant communities. Effective Book Report guidelines emphasize adopting standardized translation aids and employing cultural mediators when discussing diagnostic explanations or treatment consent forms.</w:t>
      </w:r>
    </w:p>
    <w:p>
      <w:pPr>
        <w:numPr>
          <w:ilvl w:val="0"/>
          <w:numId w:val="1001"/>
        </w:numPr>
        <w:pStyle w:val="Compact"/>
      </w:pPr>
      <w:r>
        <w:rPr>
          <w:bCs/>
          <w:b/>
        </w:rPr>
        <w:t xml:space="preserve">Chronic Disease Prevalence:</w:t>
      </w:r>
      <w:r>
        <w:t xml:space="preserve">Kuala Lumpur exhibits elevated rates of type 2 diabetes mellitus, hypertension, obesity-related disorders, and respiratory conditions exacerbated by urban air quality fluctuations. The Book Report recommends implementing routine metabolic screening pathways and community outreach partnerships with local health clinics to monitor high-risk cohorts.</w:t>
      </w:r>
    </w:p>
    <w:p>
      <w:pPr>
        <w:numPr>
          <w:ilvl w:val="0"/>
          <w:numId w:val="1001"/>
        </w:numPr>
        <w:pStyle w:val="Compact"/>
      </w:pPr>
      <w:r>
        <w:rPr>
          <w:bCs/>
          <w:b/>
        </w:rPr>
        <w:t xml:space="preserve">Infrastructure &amp; Accessibility Challenges:</w:t>
      </w:r>
      <w:r>
        <w:t xml:space="preserve">Parking constraints, traffic congestion, and clinic zoning regulations in central districts like Bukit Bintang, Bangsar, and Mont Kiara directly impact patient attendance. This Book Report advises integrating appointment optimization software, virtual consultation fallback options during peak gridlock hours, and collaborative referral networks with nearby diagnostic centers.</w:t>
      </w:r>
    </w:p>
    <w:p>
      <w:pPr>
        <w:numPr>
          <w:ilvl w:val="0"/>
          <w:numId w:val="1001"/>
        </w:numPr>
        <w:pStyle w:val="Compact"/>
      </w:pPr>
      <w:r>
        <w:rPr>
          <w:bCs/>
          <w:b/>
        </w:rPr>
        <w:t xml:space="preserve">Regulatory &amp; Licensing Compliance:</w:t>
      </w:r>
      <w:r>
        <w:t xml:space="preserve">Operating within Malaysia Kuala Lumpur requires strict adherence to the Malaysian Medical Council (MMC) practice guidelines, Pharmacy and Poisons Board regulations regarding controlled substances, and data protection standards under the Personal Data Protection Act. The Book Report serves as a compliance checklist reference for new clinic setups or service expansions.</w:t>
      </w:r>
    </w:p>
    <w:bookmarkEnd w:id="23"/>
    <w:bookmarkStart w:id="24" w:name="v.-educational-professional-implications"/>
    <w:p>
      <w:pPr>
        <w:pStyle w:val="Heading2"/>
      </w:pPr>
      <w:r>
        <w:t xml:space="preserve">V. Educational &amp; Professional Implications</w:t>
      </w:r>
    </w:p>
    <w:p>
      <w:pPr>
        <w:pStyle w:val="FirstParagraph"/>
      </w:pPr>
      <w:r>
        <w:t xml:space="preserve">This Book Report is deliberately structured to support continuing medical education (CME) modules, residency training programs, and private practice mentorship initiatives throughout Malaysia Kuala Lumpur. Healthcare institutions can utilize the analytical framework to design scenario-based workshops focusing on diagnostic accuracy, ethical dilemmas in resource-limited settings, and effective interdisciplinary handovers. Moreover, public health agencies may adapt selected chapters of this Book Report for community awareness campaigns aimed at encouraging preventive screenings and early primary care consultation rather than delayed tertiary referrals.</w:t>
      </w:r>
    </w:p>
    <w:bookmarkEnd w:id="24"/>
    <w:bookmarkStart w:id="26" w:name="vi.-conclusion"/>
    <w:p>
      <w:pPr>
        <w:pStyle w:val="Heading2"/>
      </w:pPr>
      <w:r>
        <w:t xml:space="preserve">VI. Conclusion</w:t>
      </w:r>
    </w:p>
    <w:p>
      <w:pPr>
        <w:pStyle w:val="FirstParagraph"/>
      </w:pPr>
      <w:r>
        <w:t xml:space="preserve">In summary, this comprehensive Book Report validates that the Doctor General Practitioner remains an indispensable component of resilient urban healthcare systems. When strategically implemented within Malaysia Kuala Lumpur, evidence-based general practice methodologies yield measurable improvements in clinical outcomes, patient trust, and operational efficiency. The synthesis of academic research with localized policy awareness ensures that practitioners are equipped to navigate modern medical complexities while honoring community-specific health needs. By treating this Book Report as both an educational reference and a strategic planning document, healthcare stakeholders across Malaysia Kuala Lumpur can cultivate sustainable primary care ecosystems that prioritize accessibility, clinical excellence, and long-term population well-being.</w:t>
      </w:r>
    </w:p>
    <w:bookmarkStart w:id="25" w:name="key-takeaway-for-practitioners"/>
    <w:p>
      <w:pPr>
        <w:pStyle w:val="Heading3"/>
      </w:pPr>
      <w:r>
        <w:rPr>
          <w:bCs/>
          <w:b/>
        </w:rPr>
        <w:t xml:space="preserve">Key Takeaway for Practitioners:</w:t>
      </w:r>
    </w:p>
    <w:p>
      <w:pPr>
        <w:pStyle w:val="FirstParagraph"/>
      </w:pPr>
      <w:r>
        <w:t xml:space="preserve">Every Doctor General Practitioner operating in Malaysia Kuala Lumpur should integrate this Book Report's clinical pathways into daily practice protocols. Consistent application ensures alignment with national health objectives while enhancing individual patient care standards across the region.</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Doctor General Practitioner in Malaysia Kuala Lumpur</dc:title>
  <dc:creator/>
  <dc:language>en</dc:language>
  <cp:keywords/>
  <dcterms:created xsi:type="dcterms:W3CDTF">2026-07-29T13:44:09Z</dcterms:created>
  <dcterms:modified xsi:type="dcterms:W3CDTF">2026-07-29T13:44:09Z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