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and</w:t>
      </w:r>
      <w:r>
        <w:t xml:space="preserve"> </w:t>
      </w:r>
      <w:r>
        <w:t xml:space="preserve">Its</w:t>
      </w:r>
      <w:r>
        <w:t xml:space="preserve"> </w:t>
      </w:r>
      <w:r>
        <w:t xml:space="preserve">Global</w:t>
      </w:r>
      <w:r>
        <w:t xml:space="preserve"> </w:t>
      </w:r>
      <w:r>
        <w:t xml:space="preserve">Resonance</w:t>
      </w:r>
      <w:r>
        <w:t xml:space="preserve"> </w:t>
      </w:r>
      <w:r>
        <w:t xml:space="preserve">in</w:t>
      </w:r>
      <w:r>
        <w:t xml:space="preserve"> </w:t>
      </w:r>
      <w:r>
        <w:t xml:space="preserve">China,</w:t>
      </w:r>
      <w:r>
        <w:t xml:space="preserve"> </w:t>
      </w:r>
      <w:r>
        <w:t xml:space="preserve">Beijing</w:t>
      </w:r>
    </w:p>
    <w:bookmarkStart w:id="26" w:name="X668b2069e23cf08d4854ff618beb719846a0e02"/>
    <w:p>
      <w:pPr>
        <w:pStyle w:val="Heading1"/>
      </w:pPr>
      <w:r>
        <w:t xml:space="preserve">Book Report: The Economist and Its Global Resonance in China, Beijing</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Academic Review Committee, Beijing, China</w:t>
      </w:r>
    </w:p>
    <w:p>
      <w:r>
        <w:pict>
          <v:rect style="width:0;height:1.5pt" o:hralign="center" o:hrstd="t" o:hr="t"/>
        </w:pict>
      </w:r>
    </w:p>
    <w:bookmarkStart w:id="20" w:name="i.-introduction"/>
    <w:p>
      <w:pPr>
        <w:pStyle w:val="Heading3"/>
      </w:pPr>
      <w:r>
        <w:t xml:space="preserve">I. Introduction</w:t>
      </w:r>
    </w:p>
    <w:p>
      <w:pPr>
        <w:pStyle w:val="FirstParagraph"/>
      </w:pPr>
      <w:r>
        <w:t xml:space="preserve">In the realm of global financial journalism, few publications hold as much weight or influence as The Economist. Founded in 1843, this weekly newspaper has established itself as a beacon of liberal thought, free-market advocacy, and rigorous data analysis. This report aims to provide a comprehensive analysis of the publication’s content style, ideological stance, and global reach. Specifically, this document focuses on the unique reception and significance of The Economist within the context of China Beijing. As a city that serves as both the political heart of China Beijing and a hub for international business, Beijing offers a fascinating lens through which to examine how Western economic narratives intersect with Eastern developmental realities.</w:t>
      </w:r>
    </w:p>
    <w:bookmarkEnd w:id="20"/>
    <w:bookmarkStart w:id="21" w:name="ii.-profile-of-the-economist"/>
    <w:p>
      <w:pPr>
        <w:pStyle w:val="Heading3"/>
      </w:pPr>
      <w:r>
        <w:t xml:space="preserve">II. Profile of The Economist</w:t>
      </w:r>
    </w:p>
    <w:p>
      <w:pPr>
        <w:pStyle w:val="FirstParagraph"/>
      </w:pPr>
      <w:r>
        <w:t xml:space="preserve">The Economist is distinct in the media landscape due to its collective authorship. Articles are rarely signed by individual journalists, reflecting the publication’s emphasis on institutional voice over individual celebrity. This anonymity fosters a tone that is authoritative, concise, and often witty. The journal covers a broad spectrum of topics including international politics, business, finance, science, and technology.</w:t>
      </w:r>
    </w:p>
    <w:p>
      <w:pPr>
        <w:pStyle w:val="BodyText"/>
      </w:pPr>
      <w:r>
        <w:t xml:space="preserve">Central to the identity of The Economist is its ideological framework: classical liberalism combined with free-market capitalism. It advocates for globalization, deregulation, and open trade. While often criticized for its pro-business stance by left-leaning critics and dismissed as too idealistic by realists, there is no denying the publication’s editorial consistency and high-quality data journalism. Its "Charter" promises to offer a global survey of politics and business with a clear point of view.</w:t>
      </w:r>
    </w:p>
    <w:bookmarkEnd w:id="21"/>
    <w:bookmarkStart w:id="22" w:name="X381c116a5497d7a38d4c531e2999396a2380272"/>
    <w:p>
      <w:pPr>
        <w:pStyle w:val="Heading3"/>
      </w:pPr>
      <w:r>
        <w:t xml:space="preserve">III. The Context: China Beijing’s Economic Ascendance</w:t>
      </w:r>
    </w:p>
    <w:p>
      <w:pPr>
        <w:pStyle w:val="FirstParagraph"/>
      </w:pPr>
      <w:r>
        <w:t xml:space="preserve">To understand why reading The Economist is significant in modern China Beijing, one must first appreciate the economic transformation of the nation over the last four decades. Since initiating market-oriented reforms under Deng Xiaoping, China has lifted hundreds of millions out of poverty and become the world’s second-largest economy. This rapid integration into the global system necessitated a deep understanding of international financial norms, trade laws, and macroeconomic theories.</w:t>
      </w:r>
    </w:p>
    <w:p>
      <w:pPr>
        <w:pStyle w:val="BodyText"/>
      </w:pPr>
      <w:r>
        <w:t xml:space="preserve">The Economist became an essential resource for Chinese policymakers, academics, and business leaders who sought to understand the mechanisms driving Western economies. During the 1990s and early 2000s in China Beijing copies of the magazine were highly coveted in university libraries and executive offices across major Chinese cities. The publication served not just as news media, but as a textbook on global capitalism.</w:t>
      </w:r>
    </w:p>
    <w:bookmarkEnd w:id="22"/>
    <w:bookmarkStart w:id="23" w:name="X4d98f43ca130ea6d6d08e5c467749af67e4656f"/>
    <w:p>
      <w:pPr>
        <w:pStyle w:val="Heading3"/>
      </w:pPr>
      <w:r>
        <w:t xml:space="preserve">IV. The Beijing Perspective: A Hub of Intellectual Exchange</w:t>
      </w:r>
    </w:p>
    <w:p>
      <w:pPr>
        <w:pStyle w:val="FirstParagraph"/>
      </w:pPr>
      <w:r>
        <w:t xml:space="preserve">Beijing Beijing, as the capital of the People’s Republic of China, represents a complex intersection where state policy meets global commerce. For the elite classes in China Beijing, including government officials, diplomats, and entrepreneurs in sectors ranging from finance to technology staying informed about global trends is crucial. The Economist holds a specific place in this intellectual ecosystem.</w:t>
      </w:r>
    </w:p>
    <w:p>
      <w:pPr>
        <w:pStyle w:val="BodyText"/>
      </w:pPr>
      <w:r>
        <w:t xml:space="preserve">In Beijing’s expatriate community, the magazine remains a staple for foreign journalists and business executives who view it as a standard-bearer for free-market principles. However, its impact on domestic Chinese readers is more nuanced. In recent years, the availability of physical copies has become more restricted due to evolving media regulations in China Beijing. Consequently, many readers in China Beijing access the content through digital platforms or curated summaries.</w:t>
      </w:r>
    </w:p>
    <w:p>
      <w:pPr>
        <w:pStyle w:val="BodyText"/>
      </w:pPr>
      <w:r>
        <w:t xml:space="preserve">The analysis provided by The Economist is often scrutinized carefully by Chinese intellectuals. While some appreciate its data-driven approach to climate change, trade relations, and technological innovation others critique its inherent bias toward Western democratic models. In academic circles in Beijing China Beijing, the magazine is frequently used as a case study for media literacy allowing students to analyze how Western narratives are constructed and how they might differ from domestic Chinese perspectives.</w:t>
      </w:r>
    </w:p>
    <w:bookmarkEnd w:id="23"/>
    <w:bookmarkStart w:id="24" w:name="v.-critical-reception-and-adaptation"/>
    <w:p>
      <w:pPr>
        <w:pStyle w:val="Heading3"/>
      </w:pPr>
      <w:r>
        <w:t xml:space="preserve">V. Critical Reception and Adaptation</w:t>
      </w:r>
    </w:p>
    <w:p>
      <w:pPr>
        <w:pStyle w:val="FirstParagraph"/>
      </w:pPr>
      <w:r>
        <w:t xml:space="preserve">The relationship between The Economist and its audience in China Beijing is evolving. As China’s own economic narrative strengthens, there is a growing confidence in domestic policy frameworks that sometimes diverge from the liberal prescriptions of London-based journalists. Nevertheless, the analytical rigor found in The Economist continues to command respect.</w:t>
      </w:r>
    </w:p>
    <w:p>
      <w:pPr>
        <w:pStyle w:val="BodyText"/>
      </w:pPr>
      <w:r>
        <w:t xml:space="preserve">In discussions within Beijing’s think tanks and universities readers often engage with specific sections such as "China," "Finance &amp; Economics," and "Science &amp; Technology." These sections are valued for their global comparative approach. For instance, when analyzing China’s green energy transition or its digital currency initiatives the insights provided by The Economist offer a vital counterpoint to state media narratives, encouraging a more holistic understanding of global trends.</w:t>
      </w:r>
    </w:p>
    <w:bookmarkEnd w:id="24"/>
    <w:bookmarkStart w:id="25" w:name="vi.-conclusion"/>
    <w:p>
      <w:pPr>
        <w:pStyle w:val="Heading3"/>
      </w:pPr>
      <w:r>
        <w:t xml:space="preserve">VI. Conclusion</w:t>
      </w:r>
    </w:p>
    <w:p>
      <w:pPr>
        <w:pStyle w:val="FirstParagraph"/>
      </w:pPr>
      <w:r>
        <w:t xml:space="preserve">This report concludes that The Economist while firmly rooted in Western liberal traditions continues to play a significant role in the intellectual discourse of China Beijing. In the specific context of Beijing China Beijing it serves as both a window into global financial systems and a mirror reflecting the tensions between Western ideals and Chinese realities. Despite challenges regarding access and ideological differences its commitment to data journalism makes it an indispensable tool for understanding the complexities of modern economic interdependence.</w:t>
      </w:r>
    </w:p>
    <w:p>
      <w:pPr>
        <w:pStyle w:val="BodyText"/>
      </w:pPr>
      <w:r>
        <w:t xml:space="preserve">For students, policymakers, and business leaders in China Beijing engaging critically with The Economist is not merely about consuming news; it is about participating in a global conversation. As China continues to assert its role as a global leader the dialogue between Beijing’s domestic policies and the international perspectives offered by publications like The Economist will remain vital for fostering mutual understanding and strategic foresight.</w:t>
      </w:r>
    </w:p>
    <w:p>
      <w:r>
        <w:pict>
          <v:rect style="width:0;height:1.5pt" o:hralign="center" o:hrstd="t" o:hr="t"/>
        </w:pict>
      </w:r>
    </w:p>
    <w:p>
      <w:pPr>
        <w:pStyle w:val="FirstParagraph"/>
      </w:pPr>
      <w:r>
        <w:rPr>
          <w:iCs/>
          <w:i/>
        </w:rPr>
        <w:t xml:space="preserve">Note: This report was generated in accordance with the instructions to analyze the intersection of global media, specific economic ideologies, and regional cultural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and Its Global Resonance in China, Beijing</dc:title>
  <dc:creator/>
  <dc:language>en</dc:language>
  <cp:keywords/>
  <dcterms:created xsi:type="dcterms:W3CDTF">2026-07-29T14:48:45Z</dcterms:created>
  <dcterms:modified xsi:type="dcterms:W3CDTF">2026-07-29T14:48:45Z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