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Book</w:t>
      </w:r>
      <w:r>
        <w:t xml:space="preserve"> </w:t>
      </w:r>
      <w:r>
        <w:t xml:space="preserve">Report:</w:t>
      </w:r>
      <w:r>
        <w:t xml:space="preserve"> </w:t>
      </w:r>
      <w:r>
        <w:t xml:space="preserve">Israel</w:t>
      </w:r>
      <w:r>
        <w:t xml:space="preserve"> </w:t>
      </w:r>
      <w:r>
        <w:t xml:space="preserve">Tel</w:t>
      </w:r>
      <w:r>
        <w:t xml:space="preserve"> </w:t>
      </w:r>
      <w:r>
        <w:t xml:space="preserve">Aviv</w:t>
      </w:r>
    </w:p>
    <w:bookmarkStart w:id="20" w:name="economist-book-report"/>
    <w:p>
      <w:pPr>
        <w:pStyle w:val="Heading1"/>
      </w:pPr>
      <w:r>
        <w:t xml:space="preserve">Economist Book Report</w:t>
      </w:r>
    </w:p>
    <w:p>
      <w:pPr>
        <w:pStyle w:val="FirstParagraph"/>
      </w:pPr>
      <w:r>
        <w:rPr>
          <w:bCs/>
          <w:b/>
        </w:rPr>
        <w:t xml:space="preserve">Date:</w:t>
      </w:r>
      <w:r>
        <w:t xml:space="preserve"> </w:t>
      </w:r>
      <w:r>
        <w:t xml:space="preserve">October 26, 2023</w:t>
      </w:r>
      <w:r>
        <w:br/>
      </w:r>
      <w:r>
        <w:rPr>
          <w:bCs/>
          <w:b/>
        </w:rPr>
        <w:t xml:space="preserve">Title:</w:t>
      </w:r>
      <w:r>
        <w:t xml:space="preserve">The Economic Resilience of Israel Tel Aviv: A Synthesis of Current Literature and Analysis</w:t>
      </w:r>
      <w:r>
        <w:br/>
      </w:r>
      <w:r>
        <w:rPr>
          <w:bCs/>
          <w:b/>
        </w:rPr>
        <w:t xml:space="preserve">Focused On:</w:t>
      </w:r>
      <w:r>
        <w:t xml:space="preserve">Economist, Economist</w:t>
      </w:r>
    </w:p>
    <w:bookmarkEnd w:id="20"/>
    <w:bookmarkStart w:id="21" w:name="introduction"/>
    <w:p>
      <w:pPr>
        <w:pStyle w:val="Heading2"/>
      </w:pPr>
      <w:r>
        <w:t xml:space="preserve">Introduction</w:t>
      </w:r>
    </w:p>
    <w:p>
      <w:pPr>
        <w:pStyle w:val="FirstParagraph"/>
      </w:pPr>
      <w:r>
        <w:t xml:space="preserve">In the realm of global economic discourse, few subjects command as much attention, controversy, and scholarly interest as the dynamic interplay between financial markets and geopolitical reality. This Book Report serves as a comprehensive analysis rooted in the perspectives typically found within The Economist magazine, applied specifically to one of the most vibrant economic hubs in the Middle East:</w:t>
      </w:r>
      <w:r>
        <w:t xml:space="preserve"> </w:t>
      </w:r>
      <w:r>
        <w:rPr>
          <w:bCs/>
          <w:b/>
        </w:rPr>
        <w:t xml:space="preserve">Israel Tel Aviv</w:t>
      </w:r>
      <w:r>
        <w:t xml:space="preserve">. The purpose of this document is to explore how recent literature, critical theory, and market data converge to explain why</w:t>
      </w:r>
      <w:r>
        <w:t xml:space="preserve"> </w:t>
      </w:r>
      <w:r>
        <w:rPr>
          <w:bCs/>
          <w:b/>
        </w:rPr>
        <w:t xml:space="preserve">Israel Tel Aviv</w:t>
      </w:r>
      <w:r>
        <w:t xml:space="preserve"> </w:t>
      </w:r>
      <w:r>
        <w:t xml:space="preserve">remains a pivotal player in the global economy despite its challenging regional context. By adhering to the rigorous analytical standards associated with The Economist publication style, this report dissects the structural strengths, vulnerabilities, and future trajectories of this unique urban center.</w:t>
      </w:r>
    </w:p>
    <w:p>
      <w:pPr>
        <w:pStyle w:val="BodyText"/>
      </w:pPr>
      <w:r>
        <w:t xml:space="preserve">The selection of</w:t>
      </w:r>
      <w:r>
        <w:t xml:space="preserve"> </w:t>
      </w:r>
      <w:r>
        <w:rPr>
          <w:bCs/>
          <w:b/>
        </w:rPr>
        <w:t xml:space="preserve">Israel Tel Aviv</w:t>
      </w:r>
      <w:r>
        <w:t xml:space="preserve"> </w:t>
      </w:r>
      <w:r>
        <w:t xml:space="preserve">as our focal point is not arbitrary. It represents a paradox in modern economic history: a high-income economy surrounded by developing neighbors and political instability, yet consistently outperforming expectations through innovation and capital inflow. This report will delve into the specific economic policies, technological ecosystems, and social dynamics that define this city-state within Israel’s broader national framework.</w:t>
      </w:r>
    </w:p>
    <w:bookmarkEnd w:id="21"/>
    <w:bookmarkStart w:id="22" w:name="the-innovation-ecosystem-the-core-engine"/>
    <w:p>
      <w:pPr>
        <w:pStyle w:val="Heading2"/>
      </w:pPr>
      <w:r>
        <w:t xml:space="preserve">The Innovation Ecosystem: The Core Engine</w:t>
      </w:r>
    </w:p>
    <w:p>
      <w:pPr>
        <w:pStyle w:val="FirstParagraph"/>
      </w:pPr>
      <w:r>
        <w:t xml:space="preserve">A central theme in contemporary analyses of</w:t>
      </w:r>
      <w:r>
        <w:t xml:space="preserve"> </w:t>
      </w:r>
      <w:r>
        <w:rPr>
          <w:bCs/>
          <w:b/>
        </w:rPr>
        <w:t xml:space="preserve">Economist</w:t>
      </w:r>
      <w:r>
        <w:t xml:space="preserve">-style reports regarding the region is the "Start-up Nation" phenomenon. However, when applied to</w:t>
      </w:r>
      <w:r>
        <w:t xml:space="preserve"> </w:t>
      </w:r>
      <w:r>
        <w:rPr>
          <w:bCs/>
          <w:b/>
        </w:rPr>
        <w:t xml:space="preserve">Israel Tel Aviv</w:t>
      </w:r>
      <w:r>
        <w:t xml:space="preserve">, the narrative shifts from national policy to urban density and ecosystem clustering. The city has evolved into a global capital for cybersecurity, fintech, and artificial intelligence. This report highlights that the success of</w:t>
      </w:r>
      <w:r>
        <w:t xml:space="preserve"> </w:t>
      </w:r>
      <w:r>
        <w:rPr>
          <w:bCs/>
          <w:b/>
        </w:rPr>
        <w:t xml:space="preserve">Israel Tel Aviv</w:t>
      </w:r>
      <w:r>
        <w:t xml:space="preserve"> </w:t>
      </w:r>
      <w:r>
        <w:t xml:space="preserve">is not merely a result of government grants, but rather a organic outgrowth of its academic institutions—most notably the Technion and Tel Aviv University—and their close ties to venture capital firms based in downtown districts.</w:t>
      </w:r>
    </w:p>
    <w:p>
      <w:pPr>
        <w:pStyle w:val="BodyText"/>
      </w:pPr>
      <w:r>
        <w:t xml:space="preserve">The analysis suggests that the talent pool in</w:t>
      </w:r>
      <w:r>
        <w:t xml:space="preserve"> </w:t>
      </w:r>
      <w:r>
        <w:rPr>
          <w:bCs/>
          <w:b/>
        </w:rPr>
        <w:t xml:space="preserve">Israel Tel Aviv</w:t>
      </w:r>
      <w:r>
        <w:t xml:space="preserve"> </w:t>
      </w:r>
      <w:r>
        <w:t xml:space="preserve">is unparalleled. The mandatory military service, particularly within elite units such as Unit 8200, acts as a unique incubator for technical talent. When these individuals transition to the private sector, they bring with them a culture of risk-taking and rapid prototyping that is deeply embedded in the corporate fabric of</w:t>
      </w:r>
      <w:r>
        <w:t xml:space="preserve"> </w:t>
      </w:r>
      <w:r>
        <w:rPr>
          <w:bCs/>
          <w:b/>
        </w:rPr>
        <w:t xml:space="preserve">Israel Tel Aviv</w:t>
      </w:r>
      <w:r>
        <w:t xml:space="preserve">. This cultural attribute is critical when understanding why multinational corporations establish their R&amp;D centers here, treating the city not just as a market, but as an innovation laboratory.</w:t>
      </w:r>
    </w:p>
    <w:bookmarkEnd w:id="22"/>
    <w:bookmarkStart w:id="23" w:name="X5b15837c8b276aa2e7cc382de557c5116f8d80c"/>
    <w:p>
      <w:pPr>
        <w:pStyle w:val="Heading2"/>
      </w:pPr>
      <w:r>
        <w:t xml:space="preserve">Economic Resilience and Geopolitical Risk</w:t>
      </w:r>
    </w:p>
    <w:p>
      <w:pPr>
        <w:pStyle w:val="FirstParagraph"/>
      </w:pPr>
      <w:r>
        <w:t xml:space="preserve">No examination of this topic would be complete without addressing the elephant in the room: geopolitical risk. Traditional economic models often penalize assets located in conflict zones with higher risk premiums. Yet, data regarding</w:t>
      </w:r>
      <w:r>
        <w:t xml:space="preserve"> </w:t>
      </w:r>
      <w:r>
        <w:rPr>
          <w:bCs/>
          <w:b/>
        </w:rPr>
        <w:t xml:space="preserve">Israel Tel Aviv</w:t>
      </w:r>
      <w:r>
        <w:t xml:space="preserve"> </w:t>
      </w:r>
      <w:r>
        <w:t xml:space="preserve">suggests a decoupling effect. While broader Israeli markets may fluctuate based on regional tensions, the tech sector centered in</w:t>
      </w:r>
      <w:r>
        <w:t xml:space="preserve"> </w:t>
      </w:r>
      <w:r>
        <w:rPr>
          <w:bCs/>
          <w:b/>
        </w:rPr>
        <w:t xml:space="preserve">Israel Tel Aviv</w:t>
      </w:r>
      <w:r>
        <w:t xml:space="preserve"> </w:t>
      </w:r>
      <w:r>
        <w:t xml:space="preserve">has demonstrated remarkable resilience.</w:t>
      </w:r>
    </w:p>
    <w:p>
      <w:pPr>
        <w:pStyle w:val="BodyText"/>
      </w:pPr>
      <w:r>
        <w:t xml:space="preserve">This report argues that this resilience stems from the global nature of its clientele. Because companies based in</w:t>
      </w:r>
      <w:r>
        <w:t xml:space="preserve"> </w:t>
      </w:r>
      <w:r>
        <w:rPr>
          <w:bCs/>
          <w:b/>
        </w:rPr>
        <w:t xml:space="preserve">Israel Tel Aviv</w:t>
      </w:r>
      <w:r>
        <w:t xml:space="preserve"> </w:t>
      </w:r>
      <w:r>
        <w:t xml:space="preserve">often serve international markets rather than local ones, their revenue streams are insulated from local economic downturns. Furthermore, foreign direct investment (FDI) has historically shown a "flight to quality" behavior during times of regional instability, with capital flowing into the secure infrastructure of</w:t>
      </w:r>
      <w:r>
        <w:t xml:space="preserve"> </w:t>
      </w:r>
      <w:r>
        <w:rPr>
          <w:bCs/>
          <w:b/>
        </w:rPr>
        <w:t xml:space="preserve">Israel Tel Aviv</w:t>
      </w:r>
      <w:r>
        <w:t xml:space="preserve">. This phenomenon underscores the city's status as a safe harbor for intellectual property and digital assets.</w:t>
      </w:r>
    </w:p>
    <w:p>
      <w:pPr>
        <w:numPr>
          <w:ilvl w:val="0"/>
          <w:numId w:val="1001"/>
        </w:numPr>
        <w:pStyle w:val="Compact"/>
      </w:pPr>
      <w:r>
        <w:rPr>
          <w:bCs/>
          <w:b/>
        </w:rPr>
        <w:t xml:space="preserve">Cybersecurity Hub:</w:t>
      </w:r>
      <w:r>
        <w:t xml:space="preserve"> </w:t>
      </w:r>
      <w:r>
        <w:t xml:space="preserve">The concentration of defense-grade cybersecurity firms in</w:t>
      </w:r>
      <w:r>
        <w:t xml:space="preserve"> </w:t>
      </w:r>
      <w:r>
        <w:rPr>
          <w:bCs/>
          <w:b/>
        </w:rPr>
        <w:t xml:space="preserve">Israel Tel Aviv</w:t>
      </w:r>
      <w:r>
        <w:t xml:space="preserve">.</w:t>
      </w:r>
    </w:p>
    <w:p>
      <w:pPr>
        <w:numPr>
          <w:ilvl w:val="0"/>
          <w:numId w:val="1001"/>
        </w:numPr>
        <w:pStyle w:val="Compact"/>
      </w:pPr>
      <w:r>
        <w:rPr>
          <w:bCs/>
          <w:b/>
        </w:rPr>
        <w:t xml:space="preserve">Fintech Growth:</w:t>
      </w:r>
      <w:r>
        <w:t xml:space="preserve">The rise of regulatory sandboxes allowing for rapid testing of financial technologies.</w:t>
      </w:r>
    </w:p>
    <w:p>
      <w:pPr>
        <w:numPr>
          <w:ilvl w:val="0"/>
          <w:numId w:val="1001"/>
        </w:numPr>
        <w:pStyle w:val="Compact"/>
      </w:pPr>
      <w:r>
        <w:rPr>
          <w:vertAlign w:val="subscript"/>
        </w:rPr>
        <w:t xml:space="preserve">Inbound Investment:</w:t>
      </w:r>
      <w:r>
        <w:t xml:space="preserve">Trends showing sustained foreign interest in Israeli tech startups.</w:t>
      </w:r>
    </w:p>
    <w:bookmarkEnd w:id="23"/>
    <w:bookmarkStart w:id="24" w:name="social-and-structural-challenges"/>
    <w:p>
      <w:pPr>
        <w:pStyle w:val="Heading2"/>
      </w:pPr>
      <w:r>
        <w:t xml:space="preserve">Social and Structural Challenges</w:t>
      </w:r>
    </w:p>
    <w:p>
      <w:pPr>
        <w:pStyle w:val="FirstParagraph"/>
      </w:pPr>
      <w:r>
        <w:t xml:space="preserve">An honest analysis, consistent with the balanced tone of The Economist, must also address the structural weaknesses. The cost of living in</w:t>
      </w:r>
      <w:r>
        <w:t xml:space="preserve"> </w:t>
      </w:r>
      <w:r>
        <w:rPr>
          <w:bCs/>
          <w:b/>
        </w:rPr>
        <w:t xml:space="preserve">Israel Tel Aviv</w:t>
      </w:r>
      <w:r>
        <w:t xml:space="preserve"> </w:t>
      </w:r>
      <w:r>
        <w:t xml:space="preserve">is among the highest in the world relative to local wages. This disparity creates a significant brain drain risk, where young talent may seek opportunities abroad if housing costs become prohibitive. The report identifies housing scarcity as the single largest threat to the long-term sustainability of the labor market in</w:t>
      </w:r>
      <w:r>
        <w:t xml:space="preserve"> </w:t>
      </w:r>
      <w:r>
        <w:rPr>
          <w:bCs/>
          <w:b/>
        </w:rPr>
        <w:t xml:space="preserve">Israel Tel Aviv</w:t>
      </w:r>
      <w:r>
        <w:t xml:space="preserve">.</w:t>
      </w:r>
    </w:p>
    <w:p>
      <w:pPr>
        <w:pStyle w:val="BodyText"/>
      </w:pPr>
      <w:r>
        <w:t xml:space="preserve">Additionally, there are ongoing discussions regarding social cohesion. The high concentration of wealth in the tech sector contrasts with other segments of society, leading to calls for broader economic inclusion. For</w:t>
      </w:r>
      <w:r>
        <w:t xml:space="preserve"> </w:t>
      </w:r>
      <w:r>
        <w:rPr>
          <w:bCs/>
          <w:b/>
        </w:rPr>
        <w:t xml:space="preserve">Economist</w:t>
      </w:r>
      <w:r>
        <w:t xml:space="preserve">-style analysis to remain robust, it must acknowledge that sustainable growth in</w:t>
      </w:r>
      <w:r>
        <w:t xml:space="preserve"> </w:t>
      </w:r>
      <w:r>
        <w:rPr>
          <w:bCs/>
          <w:b/>
        </w:rPr>
        <w:t xml:space="preserve">Israel Tel Aviv</w:t>
      </w:r>
      <w:r>
        <w:t xml:space="preserve"> </w:t>
      </w:r>
      <w:r>
        <w:t xml:space="preserve">requires not just innovation, but also equitable distribution of opportunity. Without addressing these social fissures, the city risks facing labor shortages and civil unrest that could deter future investment.</w:t>
      </w:r>
    </w:p>
    <w:bookmarkEnd w:id="24"/>
    <w:bookmarkStart w:id="25" w:name="the-role-of-global-connectivity"/>
    <w:p>
      <w:pPr>
        <w:pStyle w:val="Heading2"/>
      </w:pPr>
      <w:r>
        <w:t xml:space="preserve">The Role of Global Connectivity</w:t>
      </w:r>
    </w:p>
    <w:p>
      <w:pPr>
        <w:pStyle w:val="FirstParagraph"/>
      </w:pPr>
      <w:r>
        <w:rPr>
          <w:bCs/>
          <w:b/>
        </w:rPr>
        <w:t xml:space="preserve">Israel Tel Aviv</w:t>
      </w:r>
      <w:r>
        <w:t xml:space="preserve">'s economic viability is heavily dependent on its connectivity to global markets. This extends beyond physical flights and fiber-optic cables; it includes diplomatic ties, trade agreements, and cultural exchanges. The report notes that strengthening partnerships with European Union nations has been a strategic priority for stabilizing economic forecasts for</w:t>
      </w:r>
      <w:r>
        <w:t xml:space="preserve"> </w:t>
      </w:r>
      <w:r>
        <w:rPr>
          <w:bCs/>
          <w:b/>
        </w:rPr>
        <w:t xml:space="preserve">Israel Tel Aviv</w:t>
      </w:r>
      <w:r>
        <w:t xml:space="preserve">. These alliances provide access to larger consumer bases and harmonize regulatory frameworks, making it easier for businesses in the city to scale.</w:t>
      </w:r>
    </w:p>
    <w:p>
      <w:pPr>
        <w:pStyle w:val="BodyText"/>
      </w:pPr>
      <w:r>
        <w:t xml:space="preserve">Israel Tel Aviv is world-class. The city has invested heavily in 5G networks and smart city initiatives, positioning itself as a testbed for urban technology solutions that can be exported globally. This forward-looking infrastructure development ensures that the city remains competitive against other global tech hubs like London, Berlin, and San Francisco.</w:t>
      </w:r>
    </w:p>
    <w:bookmarkEnd w:id="25"/>
    <w:bookmarkStart w:id="26" w:name="conclusion"/>
    <w:p>
      <w:pPr>
        <w:pStyle w:val="Heading2"/>
      </w:pPr>
      <w:r>
        <w:t xml:space="preserve">Conclusion</w:t>
      </w:r>
    </w:p>
    <w:p>
      <w:pPr>
        <w:pStyle w:val="FirstParagraph"/>
      </w:pPr>
      <w:r>
        <w:t xml:space="preserve">In conclusion, this Book Report synthesizes the multifaceted nature of economic performance in</w:t>
      </w:r>
      <w:r>
        <w:t xml:space="preserve"> </w:t>
      </w:r>
      <w:r>
        <w:rPr>
          <w:bCs/>
          <w:b/>
        </w:rPr>
        <w:t xml:space="preserve">Economist</w:t>
      </w:r>
      <w:r>
        <w:t xml:space="preserve">-aligned analysis applied to the specific context of Israel Tel Aviv. It is clear that while challenges such as housing costs and geopolitical risks persist, they are currently outweighed by powerful structural advantages. The innovation ecosystem, the quality of human capital, and the global integration of local businesses make</w:t>
      </w:r>
      <w:r>
        <w:t xml:space="preserve"> </w:t>
      </w:r>
      <w:r>
        <w:rPr>
          <w:bCs/>
          <w:b/>
        </w:rPr>
        <w:t xml:space="preserve">Israel Tel Aviv</w:t>
      </w:r>
      <w:r>
        <w:t xml:space="preserve"> </w:t>
      </w:r>
      <w:r>
        <w:t xml:space="preserve">a unique economic entity.</w:t>
      </w:r>
    </w:p>
    <w:p>
      <w:pPr>
        <w:pStyle w:val="BodyText"/>
      </w:pPr>
      <w:r>
        <w:t xml:space="preserve">The report concludes that for policymakers and investors alike, understanding the nuances of this city is crucial. It is not merely a local market but a global node in the network of knowledge economies. Future growth will depend on maintaining social stability, continuing to invest in digital infrastructure, and fostering an environment where innovation thrives alongside inclusivity. As we look forward,</w:t>
      </w:r>
      <w:r>
        <w:t xml:space="preserve"> </w:t>
      </w:r>
      <w:r>
        <w:rPr>
          <w:bCs/>
          <w:b/>
        </w:rPr>
        <w:t xml:space="preserve">Israel Tel Aviv</w:t>
      </w:r>
      <w:r>
        <w:t xml:space="preserve"> </w:t>
      </w:r>
      <w:r>
        <w:t xml:space="preserve">stands as a testament to the power of human ingenuity and economic adaptability.</w:t>
      </w:r>
    </w:p>
    <w:p>
      <w:pPr>
        <w:pStyle w:val="BodyText"/>
      </w:pPr>
      <w:r>
        <w:t xml:space="preserve">Final Verdict: The economic trajectory of Israel Tel Aviv remains positive, anchored by its status as a global innovation leader. Continued attention to social equity and infrastructure development will be key to sustaining this momentum in the coming decade.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Book Report: Israel Tel Aviv</dc:title>
  <dc:creator/>
  <dc:language>en</dc:language>
  <cp:keywords/>
  <dcterms:created xsi:type="dcterms:W3CDTF">2026-07-29T16:09:08Z</dcterms:created>
  <dcterms:modified xsi:type="dcterms:W3CDTF">2026-07-29T16:09:08Z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