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txt" ContentType="text/plain"/>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date-may-24-2024"/>
    <w:p>
      <w:pPr>
        <w:pStyle w:val="Heading3"/>
      </w:pPr>
      <w:r>
        <w:rPr>
          <w:bCs/>
          <w:b/>
        </w:rPr>
        <w:t xml:space="preserve">Date:</w:t>
      </w:r>
      <w:r>
        <w:t xml:space="preserve"> </w:t>
      </w:r>
      <w:r>
        <w:t xml:space="preserve">May 24, 2024</w:t>
      </w:r>
    </w:p>
    <w:bookmarkEnd w:id="20"/>
    <w:bookmarkStart w:id="21" w:name="Xb92182bde9c43e1d4f3fef01d04c1c6152e0075"/>
    <w:p>
      <w:pPr>
        <w:pStyle w:val="Heading3"/>
      </w:pPr>
      <w:r>
        <w:rPr>
          <w:bCs/>
          <w:b/>
        </w:rPr>
        <w:t xml:space="preserve">To:</w:t>
      </w:r>
      <w:r>
        <w:t xml:space="preserve"> </w:t>
      </w:r>
      <w:r>
        <w:t xml:space="preserve">Faculty of Economics and Business Administration, National University of Uzbekistan</w:t>
      </w:r>
    </w:p>
    <w:bookmarkEnd w:id="21"/>
    <w:bookmarkStart w:id="22" w:name="from-student-research-desk"/>
    <w:p>
      <w:pPr>
        <w:pStyle w:val="Heading3"/>
      </w:pPr>
      <w:r>
        <w:rPr>
          <w:bCs/>
          <w:b/>
        </w:rPr>
        <w:t xml:space="preserve">From:</w:t>
      </w:r>
      <w:r>
        <w:t xml:space="preserve"> </w:t>
      </w:r>
      <w:r>
        <w:t xml:space="preserve">Student Research Desk</w:t>
      </w:r>
    </w:p>
    <w:p>
      <w:pPr>
        <w:pStyle w:val="FirstParagraph"/>
      </w:pPr>
      <w:r>
        <w:rPr>
          <w:bCs/>
          <w:b/>
        </w:rPr>
        <w:t xml:space="preserve">Institution:</w:t>
      </w:r>
      <w:r>
        <w:t xml:space="preserve">Tashkent City Academic Cluster</w:t>
      </w:r>
    </w:p>
    <w:bookmarkEnd w:id="22"/>
    <w:p>
      <w:pPr>
        <w:pStyle w:val="BodyText"/>
      </w:pPr>
      <w:r>
        <w:drawing>
          <wp:inline>
            <wp:extent cx="3810000" cy="2540000"/>
            <wp:effectExtent b="0" l="0" r="0" t="0"/>
            <wp:docPr descr="The Economist Logo" title="" id="24" name="Picture"/>
            <a:graphic>
              <a:graphicData uri="http://schemas.openxmlformats.org/drawingml/2006/picture">
                <pic:pic>
                  <pic:nvPicPr>
                    <pic:cNvPr descr="https://upload.wikimedia.org/wikipedia/commons/thumb/0/0e/The_Economist_Logo.svg/120px-The_Economist_Logo.svg.png" id="25" name="Picture"/>
                    <pic:cNvPicPr>
                      <a:picLocks noChangeArrowheads="1" noChangeAspect="1"/>
                    </pic:cNvPicPr>
                  </pic:nvPicPr>
                  <pic:blipFill>
                    <a:blip r:embed="rId23"/>
                    <a:stretch>
                      <a:fillRect/>
                    </a:stretch>
                  </pic:blipFill>
                  <pic:spPr bwMode="auto">
                    <a:xfrm>
                      <a:off x="0" y="0"/>
                      <a:ext cx="3810000" cy="2540000"/>
                    </a:xfrm>
                    <a:prstGeom prst="rect">
                      <a:avLst/>
                    </a:prstGeom>
                    <a:noFill/>
                    <a:ln w="9525">
                      <a:noFill/>
                      <a:headEnd/>
                      <a:tailEnd/>
                    </a:ln>
                  </pic:spPr>
                </pic:pic>
              </a:graphicData>
            </a:graphic>
          </wp:inline>
        </w:drawing>
      </w:r>
    </w:p>
    <w:bookmarkStart w:id="31" w:name="X692d4e144fc0454220ddcfcdd147334f747cb7c"/>
    <w:p>
      <w:pPr>
        <w:pStyle w:val="Heading1"/>
      </w:pPr>
      <w:r>
        <w:rPr>
          <w:bCs/>
          <w:b/>
        </w:rPr>
        <w:t xml:space="preserve">Book Report: Analyzing "The Economist Guide to Investment in Emerging Markets"</w:t>
      </w:r>
      <w:r>
        <w:t xml:space="preserve"> </w:t>
      </w:r>
      <w:r>
        <w:rPr>
          <w:iCs/>
          <w:i/>
        </w:rPr>
        <w:t xml:space="preserve">A Strategic Perspective for Uzbekistan, Tashkent</w:t>
      </w:r>
    </w:p>
    <w:p>
      <w:r>
        <w:pict>
          <v:rect style="width:0;height:1.5pt" o:hralign="center" o:hrstd="t" o:hr="t"/>
        </w:pict>
      </w:r>
    </w:p>
    <w:bookmarkStart w:id="26" w:name="i.-introduction-and-contextual-relevance"/>
    <w:p>
      <w:pPr>
        <w:pStyle w:val="Heading2"/>
      </w:pPr>
      <w:r>
        <w:rPr>
          <w:bCs/>
          <w:b/>
        </w:rPr>
        <w:t xml:space="preserve">I. Introduction and Contextual Relevance</w:t>
      </w:r>
    </w:p>
    <w:p>
      <w:pPr>
        <w:pStyle w:val="FirstParagraph"/>
      </w:pPr>
      <w:r>
        <w:t xml:space="preserve">In the rapidly evolving landscape of Central Asian economics, few publications hold as much weight or relevance as those produced by</w:t>
      </w:r>
      <w:r>
        <w:t xml:space="preserve"> </w:t>
      </w:r>
      <w:r>
        <w:rPr>
          <w:bCs/>
          <w:b/>
        </w:rPr>
        <w:t xml:space="preserve">The Economist</w:t>
      </w:r>
      <w:r>
        <w:t xml:space="preserve">. For scholars, policymakers, and business leaders situated in the heart of Central Asia—specifically within</w:t>
      </w:r>
      <w:r>
        <w:t xml:space="preserve"> </w:t>
      </w:r>
      <w:r>
        <w:rPr>
          <w:bCs/>
          <w:b/>
        </w:rPr>
        <w:t xml:space="preserve">Uzbekistan Tashkent</w:t>
      </w:r>
      <w:r>
        <w:t xml:space="preserve">, which has emerged as a dynamic hub for commerce and diplomacy—the insights provided by this weekly news magazine are indispensable. This report serves as an analytical review of key economic themes championed by</w:t>
      </w:r>
      <w:r>
        <w:t xml:space="preserve"> </w:t>
      </w:r>
      <w:r>
        <w:rPr>
          <w:bCs/>
          <w:b/>
        </w:rPr>
        <w:t xml:space="preserve">The Economist</w:t>
      </w:r>
      <w:r>
        <w:t xml:space="preserve">, with a specific focus on their application to the transitional economy of Uzbekistan. The capital city,</w:t>
      </w:r>
      <w:r>
        <w:t xml:space="preserve"> </w:t>
      </w:r>
      <w:r>
        <w:rPr>
          <w:bCs/>
          <w:b/>
        </w:rPr>
        <w:t xml:space="preserve">Tashkent</w:t>
      </w:r>
      <w:r>
        <w:t xml:space="preserve">, stands at a critical juncture where traditional state-led structures are merging with liberalized market forces. Understanding the frameworks presented in</w:t>
      </w:r>
      <w:r>
        <w:t xml:space="preserve"> </w:t>
      </w:r>
      <w:r>
        <w:rPr>
          <w:bCs/>
          <w:b/>
        </w:rPr>
        <w:t xml:space="preserve">The Economist’s</w:t>
      </w:r>
      <w:r>
        <w:t xml:space="preserve"> </w:t>
      </w:r>
      <w:r>
        <w:t xml:space="preserve">extensive library of reports is crucial for navigating this complex transition.</w:t>
      </w:r>
      <w:r>
        <w:t xml:space="preserve"> </w:t>
      </w:r>
      <w:r>
        <w:t xml:space="preserve">The primary objective of this report is to evaluate how the economic philosophies, data-driven analysis, and global connectivity emphasized by</w:t>
      </w:r>
      <w:r>
        <w:t xml:space="preserve"> </w:t>
      </w:r>
      <w:r>
        <w:rPr>
          <w:bCs/>
          <w:b/>
        </w:rPr>
        <w:t xml:space="preserve">The Economist</w:t>
      </w:r>
      <w:r>
        <w:t xml:space="preserve"> </w:t>
      </w:r>
      <w:r>
        <w:t xml:space="preserve">can inform strategic decisions in</w:t>
      </w:r>
      <w:r>
        <w:t xml:space="preserve"> </w:t>
      </w:r>
      <w:r>
        <w:rPr>
          <w:bCs/>
          <w:b/>
        </w:rPr>
        <w:t xml:space="preserve">Tashkent</w:t>
      </w:r>
      <w:r>
        <w:t xml:space="preserve">. By examining the intersection of global economic theory and local implementation in Uzbekistan, we aim to highlight the practical utility of these international standards for domestic stakeholders.</w:t>
      </w:r>
    </w:p>
    <w:bookmarkEnd w:id="26"/>
    <w:bookmarkStart w:id="27" w:name="ii.-core-themes-from-the-economist"/>
    <w:p>
      <w:pPr>
        <w:pStyle w:val="Heading2"/>
      </w:pPr>
      <w:r>
        <w:rPr>
          <w:bCs/>
          <w:b/>
        </w:rPr>
        <w:t xml:space="preserve">II. Core Themes from "The Economist"</w:t>
      </w:r>
    </w:p>
    <w:p>
      <w:pPr>
        <w:pStyle w:val="FirstParagraph"/>
      </w:pPr>
      <w:r>
        <w:rPr>
          <w:bCs/>
          <w:b/>
        </w:rPr>
        <w:t xml:space="preserve">The Economist</w:t>
      </w:r>
      <w:r>
        <w:t xml:space="preserve"> </w:t>
      </w:r>
      <w:r>
        <w:t xml:space="preserve">is renowned for its commitment to classical liberal economics, free trade advocacy, and rigorous data analysis. Several core themes permeate its publications that are directly applicable to the Uzbek context:</w:t>
      </w:r>
    </w:p>
    <w:p>
      <w:pPr>
        <w:numPr>
          <w:ilvl w:val="0"/>
          <w:numId w:val="1001"/>
        </w:numPr>
        <w:pStyle w:val="Compact"/>
      </w:pPr>
      <w:r>
        <w:rPr>
          <w:bCs/>
          <w:b/>
        </w:rPr>
        <w:t xml:space="preserve">Institutional Quality and Governance:</w:t>
      </w:r>
      <w:r>
        <w:t xml:space="preserve"> </w:t>
      </w:r>
      <w:r>
        <w:t xml:space="preserve">A recurring theme in</w:t>
      </w:r>
      <w:r>
        <w:t xml:space="preserve"> </w:t>
      </w:r>
      <w:r>
        <w:rPr>
          <w:bCs/>
          <w:b/>
        </w:rPr>
        <w:t xml:space="preserve">The Economist’s</w:t>
      </w:r>
      <w:r>
        <w:t xml:space="preserve"> </w:t>
      </w:r>
      <w:r>
        <w:t xml:space="preserve">annual governance indexes is the critical importance of rule of law, regulatory efficiency, and transparency. The publication consistently argues that long-term economic stability relies not merely on resource wealth but on robust institutions. For Uzbekistan, which has recently embarked on significant reform agendas under its new leadership model, this emphasis provides a roadmap for reducing corruption and enhancing investor confidence.</w:t>
      </w:r>
    </w:p>
    <w:p>
      <w:pPr>
        <w:numPr>
          <w:ilvl w:val="0"/>
          <w:numId w:val="1001"/>
        </w:numPr>
        <w:pStyle w:val="Compact"/>
      </w:pPr>
      <w:r>
        <w:rPr>
          <w:bCs/>
          <w:b/>
        </w:rPr>
        <w:t xml:space="preserve">Openness to Global Trade:</w:t>
      </w:r>
      <w:r>
        <w:t xml:space="preserve"> </w:t>
      </w:r>
      <w:r>
        <w:rPr>
          <w:bCs/>
          <w:b/>
        </w:rPr>
        <w:t xml:space="preserve">The Economist</w:t>
      </w:r>
      <w:r>
        <w:t xml:space="preserve"> </w:t>
      </w:r>
      <w:r>
        <w:t xml:space="preserve">strongly advocates for the integration of local markets into the global supply chain. Through case studies of successful emerging markets, such as Vietnam and Poland, it illustrates how trade liberalization drives productivity and innovation. This perspective is vital for</w:t>
      </w:r>
      <w:r>
        <w:t xml:space="preserve"> </w:t>
      </w:r>
      <w:r>
        <w:rPr>
          <w:bCs/>
          <w:b/>
        </w:rPr>
        <w:t xml:space="preserve">Uzbekistan Tashkent</w:t>
      </w:r>
      <w:r>
        <w:t xml:space="preserve">, which aims to become a logistical bridge between Europe and Asia. The insights from</w:t>
      </w:r>
      <w:r>
        <w:t xml:space="preserve"> </w:t>
      </w:r>
      <w:r>
        <w:rPr>
          <w:bCs/>
          <w:b/>
        </w:rPr>
        <w:t xml:space="preserve">The Economist</w:t>
      </w:r>
      <w:r>
        <w:t xml:space="preserve"> </w:t>
      </w:r>
      <w:r>
        <w:t xml:space="preserve">suggest that lowering non-tariff barriers and improving customs procedures are essential steps in this direction.</w:t>
      </w:r>
    </w:p>
    <w:p>
      <w:pPr>
        <w:numPr>
          <w:ilvl w:val="0"/>
          <w:numId w:val="1001"/>
        </w:numPr>
        <w:pStyle w:val="Compact"/>
      </w:pPr>
      <w:r>
        <w:rPr>
          <w:bCs/>
          <w:b/>
        </w:rPr>
        <w:t xml:space="preserve">Harnessing Human Capital:</w:t>
      </w:r>
      <w:r>
        <w:t xml:space="preserve"> </w:t>
      </w:r>
      <w:r>
        <w:t xml:space="preserve">Beyond macroeconomic indicators,</w:t>
      </w:r>
      <w:r>
        <w:t xml:space="preserve"> </w:t>
      </w:r>
      <w:r>
        <w:rPr>
          <w:bCs/>
          <w:b/>
        </w:rPr>
        <w:t xml:space="preserve">The Economist</w:t>
      </w:r>
      <w:r>
        <w:t xml:space="preserve"> </w:t>
      </w:r>
      <w:r>
        <w:t xml:space="preserve">places significant weight on education and labor market flexibility. In regions with young populations like Uzbekistan, the publication highlights the "demographic dividend." However, it warns that without corresponding investments in quality education and vocational training, this advantage can turn into a liability. This aligns perfectly with current initiatives in</w:t>
      </w:r>
      <w:r>
        <w:t xml:space="preserve"> </w:t>
      </w:r>
      <w:r>
        <w:rPr>
          <w:bCs/>
          <w:b/>
        </w:rPr>
        <w:t xml:space="preserve">Tashkent</w:t>
      </w:r>
      <w:r>
        <w:t xml:space="preserve"> </w:t>
      </w:r>
      <w:r>
        <w:t xml:space="preserve">to modernize its educational infrastructure.</w:t>
      </w:r>
    </w:p>
    <w:p>
      <w:pPr>
        <w:numPr>
          <w:ilvl w:val="0"/>
          <w:numId w:val="1001"/>
        </w:numPr>
        <w:pStyle w:val="Compact"/>
      </w:pPr>
      <w:r>
        <w:rPr>
          <w:bCs/>
          <w:b/>
        </w:rPr>
        <w:t xml:space="preserve">Digital Transformation:</w:t>
      </w:r>
      <w:r>
        <w:t xml:space="preserve"> </w:t>
      </w:r>
      <w:r>
        <w:t xml:space="preserve">Recent editions of</w:t>
      </w:r>
      <w:r>
        <w:t xml:space="preserve"> </w:t>
      </w:r>
      <w:r>
        <w:rPr>
          <w:bCs/>
          <w:b/>
        </w:rPr>
        <w:t xml:space="preserve">The Economist</w:t>
      </w:r>
      <w:r>
        <w:t xml:space="preserve"> </w:t>
      </w:r>
      <w:r>
        <w:t xml:space="preserve">have heavily featured the role of digitalization in economic growth. From fintech solutions to e-governance platforms, the publication demonstrates how technology can bypass traditional bureaucratic hurdles. For</w:t>
      </w:r>
      <w:r>
        <w:t xml:space="preserve"> </w:t>
      </w:r>
      <w:r>
        <w:rPr>
          <w:bCs/>
          <w:b/>
        </w:rPr>
        <w:t xml:space="preserve">Tashkent</w:t>
      </w:r>
      <w:r>
        <w:t xml:space="preserve">, which has seen a boom in its IT sector, these insights validate local efforts to create a "Silk Road of Data" while offering cautionary tales about the need for cybersecurity and digital literacy.</w:t>
      </w:r>
    </w:p>
    <w:bookmarkEnd w:id="27"/>
    <w:bookmarkStart w:id="28" w:name="Xc72935392ccc4d6c3c031e0dbea069b84e7c947"/>
    <w:p>
      <w:pPr>
        <w:pStyle w:val="Heading2"/>
      </w:pPr>
      <w:r>
        <w:rPr>
          <w:bCs/>
          <w:b/>
        </w:rPr>
        <w:t xml:space="preserve">III. Application to Uzbekistan and Tashkent</w:t>
      </w:r>
    </w:p>
    <w:p>
      <w:pPr>
        <w:pStyle w:val="FirstParagraph"/>
      </w:pPr>
      <w:r>
        <w:t xml:space="preserve">The theoretical frameworks provided by</w:t>
      </w:r>
      <w:r>
        <w:t xml:space="preserve"> </w:t>
      </w:r>
      <w:r>
        <w:rPr>
          <w:bCs/>
          <w:b/>
        </w:rPr>
        <w:t xml:space="preserve">The Economist</w:t>
      </w:r>
      <w:r>
        <w:t xml:space="preserve"> </w:t>
      </w:r>
      <w:r>
        <w:t xml:space="preserve">find concrete application in the ongoing reforms of</w:t>
      </w:r>
      <w:r>
        <w:t xml:space="preserve"> </w:t>
      </w:r>
      <w:r>
        <w:rPr>
          <w:bCs/>
          <w:b/>
        </w:rPr>
        <w:t xml:space="preserve">Tashkent</w:t>
      </w:r>
      <w:r>
        <w:t xml:space="preserve">. As the economic capital, Tashkent is witnessing a transformation from a Soviet-era command center to a vibrant market economy hub. The relevance of</w:t>
      </w:r>
      <w:r>
        <w:t xml:space="preserve"> </w:t>
      </w:r>
      <w:r>
        <w:rPr>
          <w:bCs/>
          <w:b/>
        </w:rPr>
        <w:t xml:space="preserve">The Economist’s</w:t>
      </w:r>
      <w:r>
        <w:t xml:space="preserve"> </w:t>
      </w:r>
      <w:r>
        <w:t xml:space="preserve">analysis can be seen in three specific areas:</w:t>
      </w:r>
      <w:r>
        <w:t xml:space="preserve"> </w:t>
      </w:r>
      <w:r>
        <w:rPr>
          <w:bCs/>
          <w:b/>
        </w:rPr>
        <w:t xml:space="preserve">A. Financial Sector Liberalization:</w:t>
      </w:r>
      <w:r>
        <w:t xml:space="preserve"> </w:t>
      </w:r>
      <w:r>
        <w:rPr>
          <w:bCs/>
          <w:b/>
        </w:rPr>
        <w:t xml:space="preserve">Tashkent’s</w:t>
      </w:r>
      <w:r>
        <w:t xml:space="preserve"> </w:t>
      </w:r>
      <w:r>
        <w:t xml:space="preserve">banking sector has undergone significant restructuring to attract foreign direct investment (FDI).</w:t>
      </w:r>
      <w:r>
        <w:t xml:space="preserve"> </w:t>
      </w:r>
      <w:r>
        <w:rPr>
          <w:bCs/>
          <w:b/>
        </w:rPr>
        <w:t xml:space="preserve">The Economist’s</w:t>
      </w:r>
      <w:r>
        <w:t xml:space="preserve"> </w:t>
      </w:r>
      <w:r>
        <w:t xml:space="preserve">critiques of opaque financial systems and its recommendations for independent central banking policies provide a benchmark against which Uzbekistan’s progress can be measured. The gradual liberalization of the exchange rate, supported by IMF programs and encouraged by global publications like</w:t>
      </w:r>
      <w:r>
        <w:t xml:space="preserve"> </w:t>
      </w:r>
      <w:r>
        <w:rPr>
          <w:bCs/>
          <w:b/>
        </w:rPr>
        <w:t xml:space="preserve">The Economist</w:t>
      </w:r>
      <w:r>
        <w:t xml:space="preserve">, has stabilized the sum (UZS) and boosted export competitiveness.</w:t>
      </w:r>
      <w:r>
        <w:t xml:space="preserve"> </w:t>
      </w:r>
      <w:r>
        <w:rPr>
          <w:bCs/>
          <w:b/>
        </w:rPr>
        <w:t xml:space="preserve">B. Tourism as an Economic Engine:</w:t>
      </w:r>
      <w:r>
        <w:t xml:space="preserve"> </w:t>
      </w:r>
      <w:r>
        <w:t xml:space="preserve">With its visa-free policies and improved infrastructure,</w:t>
      </w:r>
      <w:r>
        <w:t xml:space="preserve"> </w:t>
      </w:r>
      <w:r>
        <w:rPr>
          <w:bCs/>
          <w:b/>
        </w:rPr>
        <w:t xml:space="preserve">Tashkent</w:t>
      </w:r>
      <w:r>
        <w:t xml:space="preserve"> </w:t>
      </w:r>
      <w:r>
        <w:t xml:space="preserve">is positioning itself as a key stop on the Silk Road.</w:t>
      </w:r>
      <w:r>
        <w:t xml:space="preserve"> </w:t>
      </w:r>
      <w:r>
        <w:rPr>
          <w:bCs/>
          <w:b/>
        </w:rPr>
        <w:t xml:space="preserve">The Economist’s</w:t>
      </w:r>
      <w:r>
        <w:t xml:space="preserve"> </w:t>
      </w:r>
      <w:r>
        <w:t xml:space="preserve">travel and tourism sections often analyze how cultural heritage can be leveraged for economic gain. By adopting the marketing strategies and sustainability practices highlighted in these reports, Tashkent can ensure that its tourism growth benefits local communities while preserving historical sites.</w:t>
      </w:r>
      <w:r>
        <w:t xml:space="preserve"> </w:t>
      </w:r>
      <w:r>
        <w:rPr>
          <w:bCs/>
          <w:b/>
        </w:rPr>
        <w:t xml:space="preserve">C. Private Sector Development:</w:t>
      </w:r>
      <w:r>
        <w:t xml:space="preserve"> </w:t>
      </w:r>
      <w:r>
        <w:t xml:space="preserve">One of</w:t>
      </w:r>
      <w:r>
        <w:t xml:space="preserve"> </w:t>
      </w:r>
      <w:r>
        <w:rPr>
          <w:bCs/>
          <w:b/>
        </w:rPr>
        <w:t xml:space="preserve">The Economist’s</w:t>
      </w:r>
      <w:r>
        <w:t xml:space="preserve"> </w:t>
      </w:r>
      <w:r>
        <w:t xml:space="preserve">strongest arguments is the necessity of a vibrant private sector to drive innovation. In</w:t>
      </w:r>
      <w:r>
        <w:t xml:space="preserve"> </w:t>
      </w:r>
      <w:r>
        <w:rPr>
          <w:bCs/>
          <w:b/>
        </w:rPr>
        <w:t xml:space="preserve">Tashkent</w:t>
      </w:r>
      <w:r>
        <w:t xml:space="preserve">, this translates to supporting small and medium-sized enterprises (SMEs). The publication’s data on regulatory burdens suggests that streamlining business registration and taxation can unlock immense entrepreneurial potential in the capital.</w:t>
      </w:r>
    </w:p>
    <w:bookmarkEnd w:id="28"/>
    <w:bookmarkStart w:id="29" w:name="iv.-critical-assessment-and-challenges"/>
    <w:p>
      <w:pPr>
        <w:pStyle w:val="Heading2"/>
      </w:pPr>
      <w:r>
        <w:rPr>
          <w:bCs/>
          <w:b/>
        </w:rPr>
        <w:t xml:space="preserve">IV. Critical Assessment and Challenges</w:t>
      </w:r>
    </w:p>
    <w:p>
      <w:pPr>
        <w:pStyle w:val="FirstParagraph"/>
      </w:pPr>
      <w:r>
        <w:t xml:space="preserve">While</w:t>
      </w:r>
      <w:r>
        <w:t xml:space="preserve"> </w:t>
      </w:r>
      <w:r>
        <w:rPr>
          <w:bCs/>
          <w:b/>
        </w:rPr>
        <w:t xml:space="preserve">The Economist</w:t>
      </w:r>
      <w:r>
        <w:t xml:space="preserve"> </w:t>
      </w:r>
      <w:r>
        <w:t xml:space="preserve">offers valuable insights, its applicability to</w:t>
      </w:r>
      <w:r>
        <w:t xml:space="preserve"> </w:t>
      </w:r>
      <w:r>
        <w:rPr>
          <w:bCs/>
          <w:b/>
        </w:rPr>
        <w:t xml:space="preserve">Tashkent</w:t>
      </w:r>
      <w:r>
        <w:t xml:space="preserve"> </w:t>
      </w:r>
      <w:r>
        <w:t xml:space="preserve">must be viewed with nuance. The publication sometimes relies on a "one-size-fits-all" market fundamentalist approach that may not fully account for the specific cultural and geopolitical realities of Central Asia. For instance, the role of the state in guiding development remains stronger in Uzbekistan than in Western economies often cited by</w:t>
      </w:r>
      <w:r>
        <w:t xml:space="preserve"> </w:t>
      </w:r>
      <w:r>
        <w:rPr>
          <w:bCs/>
          <w:b/>
        </w:rPr>
        <w:t xml:space="preserve">The Economist</w:t>
      </w:r>
      <w:r>
        <w:t xml:space="preserve">. Therefore, students and professionals in</w:t>
      </w:r>
      <w:r>
        <w:t xml:space="preserve"> </w:t>
      </w:r>
      <w:r>
        <w:rPr>
          <w:bCs/>
          <w:b/>
        </w:rPr>
        <w:t xml:space="preserve">Tashkent</w:t>
      </w:r>
      <w:r>
        <w:t xml:space="preserve"> </w:t>
      </w:r>
      <w:r>
        <w:t xml:space="preserve">should use these reports as a starting point for critical dialogue rather than a rigid blueprint.</w:t>
      </w:r>
      <w:r>
        <w:t xml:space="preserve"> </w:t>
      </w:r>
      <w:r>
        <w:t xml:space="preserve">Furthermore, data availability can sometimes lag behind the rapid changes occurring on the ground in Uzbekistan. It is essential for local analysts to supplement</w:t>
      </w:r>
      <w:r>
        <w:t xml:space="preserve"> </w:t>
      </w:r>
      <w:r>
        <w:rPr>
          <w:bCs/>
          <w:b/>
        </w:rPr>
        <w:t xml:space="preserve">The Economist’s</w:t>
      </w:r>
      <w:r>
        <w:t xml:space="preserve"> </w:t>
      </w:r>
      <w:r>
        <w:t xml:space="preserve">global data with hyper-local statistics to gain a complete picture of economic trends in</w:t>
      </w:r>
      <w:r>
        <w:t xml:space="preserve"> </w:t>
      </w:r>
      <w:r>
        <w:rPr>
          <w:bCs/>
          <w:b/>
        </w:rPr>
        <w:t xml:space="preserve">Tashkent</w:t>
      </w:r>
      <w:r>
        <w:t xml:space="preserve">.</w:t>
      </w:r>
    </w:p>
    <w:bookmarkEnd w:id="29"/>
    <w:bookmarkStart w:id="30" w:name="v.-conclusion-and-recommendations"/>
    <w:p>
      <w:pPr>
        <w:pStyle w:val="Heading2"/>
      </w:pPr>
      <w:r>
        <w:rPr>
          <w:bCs/>
          <w:b/>
        </w:rPr>
        <w:t xml:space="preserve">V. Conclusion and Recommendations</w:t>
      </w:r>
    </w:p>
    <w:p>
      <w:pPr>
        <w:pStyle w:val="FirstParagraph"/>
      </w:pPr>
      <w:r>
        <w:t xml:space="preserve">In conclusion, engaging with the publications of</w:t>
      </w:r>
      <w:r>
        <w:t xml:space="preserve"> </w:t>
      </w:r>
      <w:r>
        <w:rPr>
          <w:bCs/>
          <w:b/>
        </w:rPr>
        <w:t xml:space="preserve">The Economist is highly beneficial for understanding the broader economic currents shaping Uzbekistan. For students, academics, and business leaders in &lt; strong &gt; Tashkent , these reports provide a global perspective that helps contextualize local reforms. The emphasis on institutional quality, open trade, human capital development, and digital transformation offers a comprehensive framework for sustainable growth.</w:t>
      </w:r>
      <w:r>
        <w:rPr>
          <w:bCs/>
          <w:b/>
        </w:rPr>
        <w:t xml:space="preserve"> </w:t>
      </w:r>
      <w:r>
        <w:rPr>
          <w:bCs/>
          <w:b/>
        </w:rPr>
        <w:t xml:space="preserve">It is recommended that institutions in Uzbekistan incorporate regular readings of</w:t>
      </w:r>
      <w:r>
        <w:rPr>
          <w:bCs/>
          <w:b/>
        </w:rPr>
        <w:t xml:space="preserve"> </w:t>
      </w:r>
      <w:r>
        <w:rPr>
          <w:bCs/>
          <w:b/>
          <w:bCs/>
          <w:b/>
        </w:rPr>
        <w:t xml:space="preserve">The Economist</w:t>
      </w:r>
      <w:r>
        <w:rPr>
          <w:bCs/>
          <w:b/>
        </w:rPr>
        <w:t xml:space="preserve"> </w:t>
      </w:r>
      <w:r>
        <w:rPr>
          <w:bCs/>
          <w:b/>
        </w:rPr>
        <w:t xml:space="preserve">into their curricula and professional development programs. By fostering a deeper understanding of global economic principles alongside local realities, Uzbekistan can continue its path toward becoming a prosperous, integrated member of the global economy.</w:t>
      </w:r>
      <w:r>
        <w:rPr>
          <w:bCs/>
          <w:b/>
        </w:rPr>
        <w:t xml:space="preserve"> </w:t>
      </w:r>
      <w:r>
        <w:rPr>
          <w:bCs/>
          <w:b/>
          <w:bCs/>
          <w:b/>
        </w:rPr>
        <w:t xml:space="preserve">Tashkent , as the epicenter of this transformation, stands to gain significantly from adopting these forward-thinking economic strategies.</w:t>
      </w:r>
    </w:p>
    <w:p>
      <w:r>
        <w:pict>
          <v:rect style="width:0;height:1.5pt" o:hralign="center" o:hrstd="t" o:hr="t"/>
        </w:pict>
      </w:r>
    </w:p>
    <w:p>
      <w:pPr>
        <w:pStyle w:val="FirstParagraph"/>
      </w:pPr>
      <w:r>
        <w:rPr>
          <w:iCs/>
          <w:i/>
        </w:rPr>
        <w:t xml:space="preserve">This report was prepared in accordance with academic standards for economic analysis and is intended for educational purposes within Uzbekistan.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txt" /></Relationships>
</file>

<file path=word/_rels/footnotes.xml.rels><?xml version="1.0" encoding="UTF-8"?><Relationships xmlns="http://schemas.openxmlformats.org/package/2006/relationships" />
</file>

<file path=word/media/rId23.txt>Please set a user-agent and respect our robot policy https://w.wiki/4wJS. See also https://phabricator.wikimedia.org/T400119.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2026-07-29T20:35:31Z</dcterms:created>
  <dcterms:modified xsi:type="dcterms:W3CDTF">2026-07-29T20:35:31Z</dcterms:modified>
</cp:coreProperties>
</file>

<file path=docProps/custom.xml><?xml version="1.0" encoding="utf-8"?>
<Properties xmlns="http://schemas.openxmlformats.org/officeDocument/2006/custom-properties" xmlns:vt="http://schemas.openxmlformats.org/officeDocument/2006/docPropsVTypes"/>
</file>