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p>
    <w:p>
      <w:pPr>
        <w:pStyle w:val="FirstParagraph"/>
      </w:pPr>
      <w:r>
        <w:t xml:space="preserve">```html</w:t>
      </w:r>
    </w:p>
    <w:bookmarkStart w:id="35" w:name="Xad776e34ad661560b52b69dcb932a2b2f60e517"/>
    <w:p>
      <w:pPr>
        <w:pStyle w:val="Heading1"/>
      </w:pPr>
      <w:r>
        <w:t xml:space="preserve">Book Report: The Modern Education Administrator</w:t>
      </w:r>
    </w:p>
    <w:p>
      <w:pPr>
        <w:pStyle w:val="FirstParagraph"/>
      </w:pPr>
      <w:r>
        <w:t xml:space="preserve">The role of the</w:t>
      </w:r>
      <w:r>
        <w:t xml:space="preserve"> </w:t>
      </w:r>
      <w:r>
        <w:rPr>
          <w:bCs/>
          <w:b/>
        </w:rPr>
        <w:t xml:space="preserve">Education Administrator</w:t>
      </w:r>
      <w:r>
        <w:t xml:space="preserve"> </w:t>
      </w:r>
      <w:r>
        <w:t xml:space="preserve">has evolved significantly in recent decades, transforming from a purely bureaucratic position into a dynamic leadership role that requires strategic foresight, emotional intelligence, and cultural competency. This report analyzes key themes from contemporary literature regarding educational leadership within the specific context of</w:t>
      </w:r>
    </w:p>
    <w:p>
      <w:pPr>
        <w:pStyle w:val="BodyText"/>
      </w:pPr>
      <w:r>
        <w:t xml:space="preserve">Germany Frankfurt. The multicultural fabric of this major German city presents unique challenges and opportunities for school leaders navigating diverse student populations while adhering to strict federal standards.</w:t>
      </w:r>
    </w:p>
    <w:bookmarkStart w:id="20" w:name="introduction"/>
    <w:p>
      <w:pPr>
        <w:pStyle w:val="Heading2"/>
      </w:pPr>
      <w:r>
        <w:t xml:space="preserve">1. Introduction</w:t>
      </w:r>
    </w:p>
    <w:p>
      <w:pPr>
        <w:pStyle w:val="FirstParagraph"/>
      </w:pPr>
      <w:r>
        <w:t xml:space="preserve">The intersection between educational theory and administrative practice forms the backbone of effective schooling systems. In</w:t>
      </w:r>
    </w:p>
    <w:p>
      <w:pPr>
        <w:pStyle w:val="BodyText"/>
      </w:pPr>
      <w:r>
        <w:t xml:space="preserve">Germany Frankfurt, where international commerce meets local tradition, the demand for skilled administrators who can bridge these worlds is paramount. Recent readings highlight how modern</w:t>
      </w:r>
      <w:r>
        <w:t xml:space="preserve"> </w:t>
      </w:r>
      <w:r>
        <w:rPr>
          <w:bCs/>
          <w:b/>
        </w:rPr>
        <w:t xml:space="preserve">Education Administrator</w:t>
      </w:r>
      <w:r>
        <w:t xml:space="preserve">s must balance regulatory compliance with innovative pedagogical strategies to foster inclusive environments.</w:t>
      </w:r>
    </w:p>
    <w:bookmarkEnd w:id="20"/>
    <w:bookmarkStart w:id="22" w:name="X987ca6e9602afc98e937b33fb465cfee86f462b"/>
    <w:p>
      <w:pPr>
        <w:pStyle w:val="Heading2"/>
      </w:pPr>
      <w:r>
        <w:t xml:space="preserve">2. Key Themes in Educational Leadership Literature</w:t>
      </w:r>
    </w:p>
    <w:p>
      <w:pPr>
        <w:pStyle w:val="FirstParagraph"/>
      </w:pPr>
      <w:r>
        <w:t xml:space="preserve">The Shift from Management to Transformational Leadership</w:t>
      </w:r>
    </w:p>
    <w:p>
      <w:pPr>
        <w:pStyle w:val="BodyText"/>
      </w:pPr>
      <w:r>
        <w:t xml:space="preserve">Cultural Responsiveness and Diversity Management</w:t>
      </w:r>
    </w:p>
    <w:bookmarkStart w:id="21" w:name="Xd57069972ef03c92c6024b670337c02feda322e"/>
    <w:p>
      <w:pPr>
        <w:pStyle w:val="Heading3"/>
      </w:pPr>
      <w:r>
        <w:t xml:space="preserve">2.1 The Shift from Management to Transformational Leadership</w:t>
      </w:r>
    </w:p>
    <w:p>
      <w:pPr>
        <w:pStyle w:val="FirstParagraph"/>
      </w:pPr>
      <w:r>
        <w:t xml:space="preserve">Traditional models viewed the</w:t>
      </w:r>
      <w:r>
        <w:t xml:space="preserve"> </w:t>
      </w:r>
      <w:r>
        <w:rPr>
          <w:bCs/>
          <w:b/>
        </w:rPr>
        <w:t xml:space="preserve">Education Administrator</w:t>
      </w:r>
    </w:p>
    <w:bookmarkEnd w:id="21"/>
    <w:bookmarkEnd w:id="22"/>
    <w:bookmarkStart w:id="23" w:name="Xf604d8d29c03a18718a75b1778cbe72600d2d35"/>
    <w:p>
      <w:pPr>
        <w:pStyle w:val="Heading3"/>
      </w:pPr>
      <w:r>
        <w:t xml:space="preserve">2.2 Cultural Responsiveness and Diversity Management</w:t>
      </w:r>
    </w:p>
    <w:p>
      <w:pPr>
        <w:pStyle w:val="FirstParagraph"/>
      </w:pPr>
      <w:r>
        <w:t xml:space="preserve">Franfurt's population includes significant numbers of immigrant families requiring administrators who understand cross-cultural communication barriers. Literature suggests that successful</w:t>
      </w:r>
      <w:r>
        <w:t xml:space="preserve"> </w:t>
      </w:r>
      <w:r>
        <w:rPr>
          <w:bCs/>
          <w:b/>
        </w:rPr>
        <w:t xml:space="preserve">Education Administrator</w:t>
      </w:r>
      <w:r>
        <w:t xml:space="preserve">s in such settings must implement policies that respect linguistic differences while ensuring equal access to quality education.</w:t>
      </w:r>
    </w:p>
    <w:bookmarkEnd w:id="23"/>
    <w:bookmarkStart w:id="24" w:name="X614466f6dbba04a533f6ddb3945f3bd777ea650"/>
    <w:p>
      <w:pPr>
        <w:pStyle w:val="Heading2"/>
      </w:pPr>
      <w:r>
        <w:t xml:space="preserve">3. Case Study Analysis: Frankfurt’s Educational Landscape</w:t>
      </w:r>
    </w:p>
    <w:p>
      <w:pPr>
        <w:pStyle w:val="FirstParagraph"/>
      </w:pPr>
      <w:r>
        <w:t xml:space="preserve">To contextualize theoretical concepts we examine Frankfurt’s current educational landscape characterized by high urban density and diverse socioeconomic backgrounds among its residents. Schools in this city face pressure to maintain academic excellence amid resource constraints typical of large metropolitan areas.</w:t>
      </w:r>
    </w:p>
    <w:bookmarkEnd w:id="24"/>
    <w:bookmarkStart w:id="25" w:name="policy-frameworks-in-hesse-state"/>
    <w:p>
      <w:pPr>
        <w:pStyle w:val="Heading3"/>
      </w:pPr>
      <w:r>
        <w:t xml:space="preserve">3.1 Policy Frameworks in Hesse State</w:t>
      </w:r>
    </w:p>
    <w:p>
      <w:pPr>
        <w:pStyle w:val="FirstParagraph"/>
      </w:pPr>
      <w:r>
        <w:t xml:space="preserve">As part of the state of Hesse Frankfurt schools operate under specific guidelines set by local authorities These frameworks emphasize core competencies including digital literacy critical thinking and social responsibility For an</w:t>
      </w:r>
      <w:r>
        <w:t xml:space="preserve"> </w:t>
      </w:r>
      <w:r>
        <w:rPr>
          <w:bCs/>
          <w:b/>
        </w:rPr>
        <w:t xml:space="preserve">Education Administrator</w:t>
      </w:r>
    </w:p>
    <w:bookmarkEnd w:id="25"/>
    <w:bookmarkStart w:id="26" w:name="community-engagement-strategies"/>
    <w:p>
      <w:pPr>
        <w:pStyle w:val="Heading3"/>
      </w:pPr>
      <w:r>
        <w:t xml:space="preserve">3.2 Community Engagement Strategies</w:t>
      </w:r>
    </w:p>
    <w:p>
      <w:pPr>
        <w:pStyle w:val="FirstParagraph"/>
      </w:pPr>
      <w:r>
        <w:t xml:space="preserve">In Frankfurt community engagement plays a crucial role in enhancing student outcomes Successful administrators collaborate closely with parents businesses religious institutions and civic organizations to create supportive ecosystems around schools This approach aligns well with broader trends advocating for holistic education models.</w:t>
      </w:r>
    </w:p>
    <w:bookmarkEnd w:id="26"/>
    <w:bookmarkStart w:id="27" w:name="Xd558bc87e30d24d627e83584735d24141bc5cfd"/>
    <w:p>
      <w:pPr>
        <w:pStyle w:val="Heading2"/>
      </w:pPr>
      <w:r>
        <w:t xml:space="preserve">4. Challenges Facing Contemporary Administrators</w:t>
      </w:r>
    </w:p>
    <w:p>
      <w:pPr>
        <w:pStyle w:val="FirstParagraph"/>
      </w:pPr>
      <w:r>
        <w:t xml:space="preserve">Budgetary Constraints and Resource Allocation</w:t>
      </w:r>
    </w:p>
    <w:p>
      <w:pPr>
        <w:pStyle w:val="BodyText"/>
      </w:pPr>
      <w:r>
        <w:t xml:space="preserve">Teacher Retention and Professional Development Needs</w:t>
      </w:r>
    </w:p>
    <w:bookmarkEnd w:id="27"/>
    <w:bookmarkStart w:id="28" w:name="budgetary-constraints"/>
    <w:p>
      <w:pPr>
        <w:pStyle w:val="Heading3"/>
      </w:pPr>
      <w:r>
        <w:t xml:space="preserve">4.1 Budgetary Constraints</w:t>
      </w:r>
    </w:p>
    <w:p>
      <w:pPr>
        <w:pStyle w:val="FirstParagraph"/>
      </w:pPr>
      <w:r>
        <w:t xml:space="preserve">Despite being one of Germany’s wealthiest cities Frankfurt still grapples with budget limitations affecting smaller institutions within the region Effective</w:t>
      </w:r>
      <w:r>
        <w:t xml:space="preserve"> </w:t>
      </w:r>
      <w:r>
        <w:rPr>
          <w:bCs/>
          <w:b/>
        </w:rPr>
        <w:t xml:space="preserve">Education Administrator</w:t>
      </w:r>
      <w:r>
        <w:t xml:space="preserve">s must prioritize spending wisely without compromising essential services or extracurricular programs vital for student development.</w:t>
      </w:r>
    </w:p>
    <w:bookmarkEnd w:id="28"/>
    <w:bookmarkStart w:id="29" w:name="teacher-retention-efforts"/>
    <w:p>
      <w:pPr>
        <w:pStyle w:val="Heading3"/>
      </w:pPr>
      <w:r>
        <w:t xml:space="preserve">4.2 Teacher Retention Efforts</w:t>
      </w:r>
    </w:p>
    <w:p>
      <w:pPr>
        <w:pStyle w:val="FirstParagraph"/>
      </w:pPr>
      <w:r>
        <w:t xml:space="preserve">High turnover rates among educators pose another significant challenge especially in inner-city neighborhoods where working conditions may be less favorable compared to suburban counterparts Addressing this issue demands targeted interventions aimed at improving workplace satisfaction through mentorship opportunities career advancement pathways flexible scheduling options etc.</w:t>
      </w:r>
    </w:p>
    <w:bookmarkEnd w:id="29"/>
    <w:bookmarkStart w:id="32" w:name="recommendations-for-practice"/>
    <w:p>
      <w:pPr>
        <w:pStyle w:val="Heading2"/>
      </w:pPr>
      <w:r>
        <w:t xml:space="preserve">5. Recommendations for Practice</w:t>
      </w:r>
    </w:p>
    <w:p>
      <w:pPr>
        <w:pStyle w:val="FirstParagraph"/>
      </w:pPr>
      <w:r>
        <w:t xml:space="preserve">Invest in ongoing professional development focused specifically on intercultural competence and conflict resolution skills;</w:t>
      </w:r>
    </w:p>
    <w:bookmarkStart w:id="30" w:name="X5d359a134bf6fe341b2258b6a48496361b0cb0f"/>
    <w:p>
      <w:pPr>
        <w:pStyle w:val="Heading3"/>
      </w:pPr>
      <w:r>
        <w:t xml:space="preserve">5.1 Foster Collaborative Decision-Making Processes</w:t>
      </w:r>
    </w:p>
    <w:p>
      <w:pPr>
        <w:pStyle w:val="FirstParagraph"/>
      </w:pPr>
      <w:r>
        <w:t xml:space="preserve">Encouraging input from all stakeholders including teachers parents students ensures that decisions reflect collective wisdom rather than top-down mandates alone.</w:t>
      </w:r>
    </w:p>
    <w:p>
      <w:pPr>
        <w:pStyle w:val="BodyText"/>
      </w:pPr>
      <w:r>
        <w:t xml:space="preserve">Leverage Technology Effectively</w:t>
      </w:r>
    </w:p>
    <w:bookmarkEnd w:id="30"/>
    <w:bookmarkStart w:id="31" w:name="promote-digital-equity-initiatives"/>
    <w:p>
      <w:pPr>
        <w:pStyle w:val="Heading3"/>
      </w:pPr>
      <w:r>
        <w:t xml:space="preserve">5.2 Promote Digital Equity Initiatives</w:t>
      </w:r>
    </w:p>
    <w:p>
      <w:pPr>
        <w:pStyle w:val="FirstParagraph"/>
      </w:pPr>
      <w:r>
        <w:t xml:space="preserve">Ensure every child has access to necessary tools and training needed to succeed digitally regardless of their background or home situation.</w:t>
      </w:r>
    </w:p>
    <w:p>
      <w:pPr>
        <w:pStyle w:val="BodyText"/>
      </w:pPr>
      <w:r>
        <w:t xml:space="preserve">Prioritize Mental Health Support Services</w:t>
      </w:r>
    </w:p>
    <w:p>
      <w:pPr>
        <w:pStyle w:val="FirstParagraph"/>
      </w:pPr>
      <w:r>
        <w:t xml:space="preserve">These recommendations aim at empowering</w:t>
      </w:r>
      <w:r>
        <w:t xml:space="preserve"> </w:t>
      </w:r>
      <w:r>
        <w:rPr>
          <w:bCs/>
          <w:b/>
        </w:rPr>
        <w:t xml:space="preserve">Education Administrator</w:t>
      </w:r>
      <w:r>
        <w:t xml:space="preserve">s equipped with practical strategies tailored toward meeting specific needs present within</w:t>
      </w:r>
    </w:p>
    <w:p>
      <w:pPr>
        <w:pStyle w:val="BodyText"/>
      </w:pPr>
      <w:r>
        <w:t xml:space="preserve">Germany Frankfurt's unique socio-political environment.</w:t>
      </w:r>
    </w:p>
    <w:bookmarkEnd w:id="31"/>
    <w:bookmarkEnd w:id="32"/>
    <w:bookmarkStart w:id="33" w:name="conclusion"/>
    <w:p>
      <w:pPr>
        <w:pStyle w:val="Heading2"/>
      </w:pPr>
      <w:r>
        <w:t xml:space="preserve">6. Conclusion</w:t>
      </w:r>
    </w:p>
    <w:p>
      <w:pPr>
        <w:pStyle w:val="FirstParagraph"/>
      </w:pPr>
      <w:r>
        <w:t xml:space="preserve">In conclusion this book report highlights critical insights gained from studying contemporary literature concerning the evolving nature of the</w:t>
      </w:r>
    </w:p>
    <w:p>
      <w:pPr>
        <w:pStyle w:val="BodyText"/>
      </w:pPr>
      <w:r>
        <w:t xml:space="preserve">Education Administrator role particularly when applied within</w:t>
      </w:r>
    </w:p>
    <w:p>
      <w:pPr>
        <w:pStyle w:val="BodyText"/>
      </w:pPr>
      <w:r>
        <w:t xml:space="preserve">Germany Frankfurt's complex urban setting. By embracing transformational leadership principles prioritizing diversity management optimizing resource utilization fostering collaborative environments promoting digital equity enhancing mental health support mechanisms administrators can drive meaningful change benefiting entire communities involved throughout this process.</w:t>
      </w:r>
    </w:p>
    <w:bookmarkEnd w:id="33"/>
    <w:bookmarkStart w:id="34" w:name="references"/>
    <w:p>
      <w:pPr>
        <w:pStyle w:val="Heading2"/>
      </w:pPr>
      <w:r>
        <w:t xml:space="preserve">7. References</w:t>
      </w:r>
    </w:p>
    <w:p>
      <w:pPr>
        <w:pStyle w:val="FirstParagraph"/>
      </w:pPr>
      <w:r>
        <w:t xml:space="preserve">Fullan M (2016). The New Meaning of Educational Change. Teachers College Press.</w:t>
      </w:r>
    </w:p>
    <w:p>
      <w:pPr>
        <w:pStyle w:val="BodyText"/>
      </w:pPr>
      <w:r>
        <w:t xml:space="preserve">Leithwood K Jantzi D (2009). A Review of Empirical Research on the Impact of School Leadership on Student Achievement. Ontario Institute for Studies in Education.</w:t>
      </w:r>
    </w:p>
    <w:p>
      <w:pPr>
        <w:pStyle w:val="BodyText"/>
      </w:pPr>
      <w:r>
        <w:t xml:space="preserve">Hattie J (2018). Visible Learning for Teachers: Maximizing Impact on Learning. Routledge.</w:t>
      </w:r>
    </w:p>
    <w:p>
      <w:pPr>
        <w:pStyle w:val="BodyText"/>
      </w:pPr>
      <w:r>
        <w:t xml:space="preserve">Urban Education Journal (Special Issue on Urban School Leadership)</w:t>
      </w:r>
    </w:p>
    <w:p>
      <w:pPr>
        <w:pStyle w:val="BodyText"/>
      </w:pPr>
      <w:r>
        <w:t xml:space="preserve">Hessian Ministry of Education and Cultural Affairs. Annual Reports on Statewide Educational Outcomes.</w:t>
      </w:r>
    </w:p>
    <w:p>
      <w:pPr>
        <w:pStyle w:val="FirstParagraph"/>
      </w:pPr>
      <w:r>
        <w:t xml:space="preserve">This comprehensive analysis underscores the importance of adapting leadership approaches to fit local contexts while maintaining universal best practices guiding effective educational administration today.</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dc:title>
  <dc:creator/>
  <dc:language>en</dc:language>
  <cp:keywords/>
  <dcterms:created xsi:type="dcterms:W3CDTF">2026-07-29T04:08:36Z</dcterms:created>
  <dcterms:modified xsi:type="dcterms:W3CDTF">2026-07-29T04:08:36Z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