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bookmarkStart w:id="29" w:name="Xa53c3a9855dcedb4be7bb85cf77e390d17cbf82"/>
    <w:p>
      <w:pPr>
        <w:pStyle w:val="Heading1"/>
      </w:pPr>
      <w:r>
        <w:t xml:space="preserve">Book Report: Navigating the Complexities of Educational Leadership</w:t>
      </w:r>
    </w:p>
    <w:p>
      <w:pPr>
        <w:pStyle w:val="FirstParagraph"/>
      </w:pPr>
      <w:r>
        <w:rPr>
          <w:bCs/>
          <w:b/>
        </w:rPr>
        <w:t xml:space="preserve">Title:</w:t>
      </w:r>
      <w:r>
        <w:t xml:space="preserve"> </w:t>
      </w:r>
      <w:r>
        <w:t xml:space="preserve">Strategic Leadership in Public Education: A Global Perspective with Regional Applications</w:t>
      </w:r>
      <w:r>
        <w:br/>
      </w:r>
      <w:r>
        <w:rPr>
          <w:bCs/>
          <w:b/>
        </w:rPr>
        <w:t xml:space="preserve">Focused Region:</w:t>
      </w:r>
      <w:r>
        <w:t xml:space="preserve"> </w:t>
      </w:r>
      <w:r>
        <w:t xml:space="preserve">Kuwait City, Kuwait</w:t>
      </w:r>
      <w:r>
        <w:br/>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the rapidly evolving landscape of global education, the role of the Education Administrator has transcended traditional managerial duties to become a pivotal strategic leader. This book report analyzes contemporary literature regarding educational leadership, specifically contextualized for the unique socio-cultural and administrative environment of Kuwait City, Kuwait. As Kuwait strives to realize its ambitious "New Kuwiat 2035" vision, which emphasizes knowledge-based economic development and educational excellence, the demands placed on Education Administrators have never been higher. This report explores how theoretical frameworks of administration apply to the practical realities faced by school principals and district administrators within the capital city.</w:t>
      </w:r>
    </w:p>
    <w:bookmarkEnd w:id="20"/>
    <w:bookmarkStart w:id="21" w:name="X8da5705e9d85223bcb0b014f23165a9515d193e"/>
    <w:p>
      <w:pPr>
        <w:pStyle w:val="Heading2"/>
      </w:pPr>
      <w:r>
        <w:t xml:space="preserve">II. The Evolving Role of the Education Administrator</w:t>
      </w:r>
    </w:p>
    <w:p>
      <w:pPr>
        <w:pStyle w:val="FirstParagraph"/>
      </w:pPr>
      <w:r>
        <w:t xml:space="preserve">The literature suggests that modern Education Administrators must function as instructional leaders, change agents, and community liaisons. In Kuwait City, this role is particularly complex due to the dual structure of the education system, which includes both public schools governed by the Ministry of Public Education and private institutions serving a diverse international population. The Administrator in Kuwait City is not merely an overseer of facilities or budgets but is expected to drive pedagogical innovation while respecting deep-seated cultural traditions.</w:t>
      </w:r>
    </w:p>
    <w:p>
      <w:pPr>
        <w:pStyle w:val="BodyText"/>
      </w:pPr>
      <w:r>
        <w:t xml:space="preserve">A central theme in contemporary educational administration literature is the shift from bureaucratic management to transformational leadership. For Education Administrators operating in Kuwait, this means moving beyond compliance with ministry regulations to fostering a school culture that encourages critical thinking, digital literacy, and global citizenship. The book report highlights that successful administrators in this region must balance the preservation of Islamic and Arab values with the integration of modern educational technologies and international curricula.</w:t>
      </w:r>
    </w:p>
    <w:bookmarkEnd w:id="21"/>
    <w:bookmarkStart w:id="23" w:name="X6a4fc6e658e7e933f9cbe016b6f9f7d8471d334"/>
    <w:p>
      <w:pPr>
        <w:pStyle w:val="Heading2"/>
      </w:pPr>
      <w:r>
        <w:t xml:space="preserve">III. Contextual Analysis: The Kuwait City Landscape</w:t>
      </w:r>
    </w:p>
    <w:p>
      <w:pPr>
        <w:pStyle w:val="FirstParagraph"/>
      </w:pPr>
      <w:r>
        <w:t xml:space="preserve">Kuwait City serves as the administrative, cultural, and economic heart of the nation. Consequently, schools in this area face distinct challenges and opportunities that differ significantly from rural governorates or other GCC (Gulf Cooperation Council) capitals. The population density is high, student diversity varies greatly between public and private sectors, and there is intense pressure to produce graduates who are competitive in a global job market.</w:t>
      </w:r>
    </w:p>
    <w:bookmarkStart w:id="22" w:name="X3e838491baf51d33bc1183f5a21d925aacf0667"/>
    <w:p>
      <w:pPr>
        <w:pStyle w:val="Heading3"/>
      </w:pPr>
      <w:r>
        <w:t xml:space="preserve">Key Challenges for Education Administrators in Kuwait City</w:t>
      </w:r>
    </w:p>
    <w:p>
      <w:pPr>
        <w:numPr>
          <w:ilvl w:val="0"/>
          <w:numId w:val="1001"/>
        </w:numPr>
        <w:pStyle w:val="Compact"/>
      </w:pPr>
      <w:r>
        <w:rPr>
          <w:bCs/>
          <w:b/>
        </w:rPr>
        <w:t xml:space="preserve">Cultural Integration:</w:t>
      </w:r>
      <w:r>
        <w:t xml:space="preserve"> </w:t>
      </w:r>
      <w:r>
        <w:t xml:space="preserve">Balancing national identity with international educational standards.</w:t>
      </w:r>
    </w:p>
    <w:p>
      <w:pPr>
        <w:numPr>
          <w:ilvl w:val="0"/>
          <w:numId w:val="1001"/>
        </w:numPr>
        <w:pStyle w:val="Compact"/>
      </w:pPr>
      <w:r>
        <w:rPr>
          <w:bCs/>
          <w:b/>
        </w:rPr>
        <w:t xml:space="preserve">Digital Transformation:</w:t>
      </w:r>
    </w:p>
    <w:p>
      <w:pPr>
        <w:numPr>
          <w:ilvl w:val="0"/>
          <w:numId w:val="1001"/>
        </w:numPr>
        <w:pStyle w:val="Compact"/>
      </w:pPr>
      <w:r>
        <w:rPr>
          <w:bCs/>
          <w:b/>
        </w:rPr>
        <w:t xml:space="preserve">Talent Retention:</w:t>
      </w:r>
    </w:p>
    <w:p>
      <w:pPr>
        <w:numPr>
          <w:ilvl w:val="0"/>
          <w:numId w:val="1001"/>
        </w:numPr>
        <w:pStyle w:val="Compact"/>
      </w:pPr>
      <w:r>
        <w:rPr>
          <w:bCs/>
          <w:b/>
        </w:rPr>
        <w:t xml:space="preserve">Community Engagement:</w:t>
      </w:r>
      <w:r>
        <w:t xml:space="preserve">Fostering stronger partnerships between schools and local families in a densely urban environment.</w:t>
      </w:r>
    </w:p>
    <w:bookmarkEnd w:id="22"/>
    <w:p>
      <w:pPr>
        <w:pStyle w:val="FirstParagraph"/>
      </w:pPr>
      <w:r>
        <w:t xml:space="preserve">The administrator must navigate the intricate relationship between the Ministry of Education, private school boards, and parent communities. In Kuwait City, where community ties are strong yet modernizing, the ability of an Education Administrator to communicate effectively with stakeholders is crucial. The literature emphasizes that transparency and accountability are increasingly valued by Kuwaiti parents who expect high-quality outcomes for their children.</w:t>
      </w:r>
    </w:p>
    <w:bookmarkEnd w:id="23"/>
    <w:bookmarkStart w:id="24" w:name="X84eb12650aee4ecaf064f1924eec3bb126d7ac1"/>
    <w:p>
      <w:pPr>
        <w:pStyle w:val="Heading2"/>
      </w:pPr>
      <w:r>
        <w:t xml:space="preserve">IV. Strategic Leadership and Policy Implementation</w:t>
      </w:r>
    </w:p>
    <w:p>
      <w:pPr>
        <w:pStyle w:val="FirstParagraph"/>
      </w:pPr>
      <w:r>
        <w:t xml:space="preserve">A significant portion of the analyzed material focuses on policy implementation. For Education Administrators in Kuwait, this involves interpreting national directives regarding curriculum reform, gender integration in certain extracurricular activities, and the promotion of STEM (Science, Technology, Engineering, and Mathematics) education. The "Education 2035" strategy places a heavy emphasis on human capital development.</w:t>
      </w:r>
    </w:p>
    <w:p>
      <w:pPr>
        <w:pStyle w:val="BodyText"/>
      </w:pPr>
      <w:r>
        <w:t xml:space="preserve">The report notes that effective administrators act as filters and amplifiers. They filter national policies through the lens of local school context—considering the specific demographics of their student body in Kuwait City—and amplify best practices that resonate with teachers and students. For instance, while a ministry directive may call for increased use of artificial intelligence in learning, an administrator must ensure that teachers are adequately trained and that infrastructure supports such initiatives.</w:t>
      </w:r>
    </w:p>
    <w:bookmarkEnd w:id="24"/>
    <w:bookmarkStart w:id="25" w:name="X0c023a9f880229025f23e62cb612f19924d994e"/>
    <w:p>
      <w:pPr>
        <w:pStyle w:val="Heading2"/>
      </w:pPr>
      <w:r>
        <w:t xml:space="preserve">V. Challenges in Human Resource Management</w:t>
      </w:r>
    </w:p>
    <w:p>
      <w:pPr>
        <w:pStyle w:val="FirstParagraph"/>
      </w:pPr>
      <w:r>
        <w:t xml:space="preserve">One of the most critical aspects discussed is human resource management. Education Administrators are responsible for professional development, performance evaluation, and staff morale. In Kuwait City, this involves managing a mixed workforce of Kuwaiti national teachers (often mandated by quota systems) and expatriate educators from various cultural backgrounds.</w:t>
      </w:r>
    </w:p>
    <w:p>
      <w:pPr>
        <w:pStyle w:val="BodyText"/>
      </w:pPr>
      <w:r>
        <w:t xml:space="preserve">The literature suggests that successful administrators foster an inclusive environment where diverse teaching styles can thrive. This requires high emotional intelligence and cross-cultural competency. Furthermore, the report highlights the importance of mentorship programs led by senior Education Administrators to support younger teachers who may feel overwhelmed by the rapid pace of educational change in Kuwait.</w:t>
      </w:r>
    </w:p>
    <w:bookmarkEnd w:id="25"/>
    <w:bookmarkStart w:id="26" w:name="vi.-community-and-parental-engagement"/>
    <w:p>
      <w:pPr>
        <w:pStyle w:val="Heading2"/>
      </w:pPr>
      <w:r>
        <w:t xml:space="preserve">VI. Community and Parental Engagement</w:t>
      </w:r>
    </w:p>
    <w:p>
      <w:pPr>
        <w:pStyle w:val="FirstParagraph"/>
      </w:pPr>
      <w:r>
        <w:t xml:space="preserve">In Kuwait City, parental involvement is a powerful force. The modern Education Administrator must view parents as partners rather than adversaries or passive observers. This involves creating accessible channels for communication, such as digital portals and regular town-hall meetings.</w:t>
      </w:r>
    </w:p>
    <w:p>
      <w:pPr>
        <w:pStyle w:val="BodyText"/>
      </w:pPr>
      <w:r>
        <w:t xml:space="preserve">The book report emphasizes that trust-building is essential. When administrators in Kuwait City proactively address concerns regarding curriculum relevance, safety, and student well-being, they create a supportive ecosystem that enhances learning outcomes. The integration of community leaders into school advisory boards has also been identified as a best practice for aligning school goals with broader societal expectations.</w:t>
      </w:r>
    </w:p>
    <w:bookmarkEnd w:id="26"/>
    <w:bookmarkStart w:id="27" w:name="Xfb1f0e55aa30f40fce77b67fe04522cd51a8fa9"/>
    <w:p>
      <w:pPr>
        <w:pStyle w:val="Heading2"/>
      </w:pPr>
      <w:r>
        <w:t xml:space="preserve">VII. Future Directions and Recommendations</w:t>
      </w:r>
    </w:p>
    <w:p>
      <w:pPr>
        <w:pStyle w:val="FirstParagraph"/>
      </w:pPr>
      <w:r>
        <w:t xml:space="preserve">Based on the analysis, several recommendations are made for Education Administrators in Kuwait City:</w:t>
      </w:r>
    </w:p>
    <w:p>
      <w:pPr>
        <w:numPr>
          <w:ilvl w:val="0"/>
          <w:numId w:val="1002"/>
        </w:numPr>
        <w:pStyle w:val="Compact"/>
      </w:pPr>
      <w:r>
        <w:rPr>
          <w:bCs/>
          <w:b/>
        </w:rPr>
        <w:t xml:space="preserve">Prioritize Data-Driven Decision Making:</w:t>
      </w:r>
      <w:r>
        <w:t xml:space="preserve">Average administrators rely on intuition; superior administrators utilize data analytics to guide instructional improvements.</w:t>
      </w:r>
    </w:p>
    <w:p>
      <w:pPr>
        <w:numPr>
          <w:ilvl w:val="0"/>
          <w:numId w:val="1002"/>
        </w:numPr>
        <w:pStyle w:val="Compact"/>
      </w:pPr>
      <w:r>
        <w:rPr>
          <w:bCs/>
          <w:b/>
        </w:rPr>
        <w:t xml:space="preserve">Foster Continuous Professional Development:</w:t>
      </w:r>
      <w:r>
        <w:t xml:space="preserve">Create a culture of lifelong learning for both staff and students.</w:t>
      </w:r>
    </w:p>
    <w:p>
      <w:pPr>
        <w:numPr>
          <w:ilvl w:val="0"/>
          <w:numId w:val="1002"/>
        </w:numPr>
        <w:pStyle w:val="Compact"/>
      </w:pPr>
      <w:r>
        <w:rPr>
          <w:bCs/>
          <w:b/>
        </w:rPr>
        <w:t xml:space="preserve">Leverage Technology Strategically:</w:t>
      </w:r>
      <w:r>
        <w:t xml:space="preserve">Moving beyond hardware acquisition to focusing on pedagogical integration of digital tools.</w:t>
      </w:r>
    </w:p>
    <w:p>
      <w:pPr>
        <w:numPr>
          <w:ilvl w:val="0"/>
          <w:numId w:val="1002"/>
        </w:numPr>
        <w:pStyle w:val="Compact"/>
      </w:pPr>
      <w:r>
        <w:rPr>
          <w:bCs/>
          <w:b/>
        </w:rPr>
        <w:t xml:space="preserve">Strengthen Regional Collaborations:</w:t>
      </w:r>
      <w:r>
        <w:t xml:space="preserve">Kuwait City schools should partner with institutions across the Gulf to share best practices in educational administration.</w:t>
      </w:r>
    </w:p>
    <w:bookmarkEnd w:id="27"/>
    <w:bookmarkStart w:id="28" w:name="viii.-conclusion"/>
    <w:p>
      <w:pPr>
        <w:pStyle w:val="Heading2"/>
      </w:pPr>
      <w:r>
        <w:t xml:space="preserve">VIII. Conclusion</w:t>
      </w:r>
    </w:p>
    <w:p>
      <w:pPr>
        <w:pStyle w:val="FirstParagraph"/>
      </w:pPr>
      <w:r>
        <w:t xml:space="preserve">The role of the Education Administrator in Kuwait City is multifaceted, demanding a blend of cultural sensitivity, strategic vision, and operational efficiency. As documented in this report, the modern administrator must be a visionary leader who can navigate the complexities of national policy while addressing local community needs. The transition toward "New Kuwait 2035" provides both a challenge and an opportunity for these leaders to redefine educational excellence.</w:t>
      </w:r>
    </w:p>
    <w:p>
      <w:pPr>
        <w:pStyle w:val="BodyText"/>
      </w:pPr>
      <w:r>
        <w:rPr>
          <w:iCs/>
          <w:i/>
        </w:rPr>
        <w:t xml:space="preserve">This report serves as a comprehensive overview of current trends and expectations for educational leaders operating within the dynamic environment of Kuwait City. It underscores the necessity for adaptive leadership in achieving national educational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Kuwait City</dc:title>
  <dc:creator/>
  <dc:language>en</dc:language>
  <cp:keywords/>
  <dcterms:created xsi:type="dcterms:W3CDTF">2026-07-29T12:07:38Z</dcterms:created>
  <dcterms:modified xsi:type="dcterms:W3CDTF">2026-07-29T12:07:38Z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