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w:t>
      </w:r>
      <w:r>
        <w:t xml:space="preserve"> </w:t>
      </w:r>
      <w:r>
        <w:t xml:space="preserve">Administrator</w:t>
      </w:r>
    </w:p>
    <w:p>
      <w:pPr>
        <w:pStyle w:val="FirstParagraph"/>
      </w:pPr>
      <w:r>
        <w:t xml:space="preserve">```html</w:t>
      </w:r>
    </w:p>
    <w:bookmarkStart w:id="31" w:name="Xec35abba510eee47d672715aca0b7a25994cdba"/>
    <w:p>
      <w:pPr>
        <w:pStyle w:val="Heading1"/>
      </w:pPr>
      <w:r>
        <w:t xml:space="preserve">The Role and Impact of the Education Administrator in Myanmar Yangon</w:t>
      </w:r>
    </w:p>
    <w:p>
      <w:pPr>
        <w:pStyle w:val="FirstParagraph"/>
      </w:pPr>
      <w:r>
        <w:rPr>
          <w:bCs/>
          <w:b/>
        </w:rPr>
        <w:t xml:space="preserve">Date:</w:t>
      </w:r>
      <w:r>
        <w:t xml:space="preserve"> </w:t>
      </w:r>
      <w:r>
        <w:t xml:space="preserve">May 24, 2024</w:t>
      </w:r>
      <w:r>
        <w:br/>
      </w:r>
      <w:r>
        <w:rPr>
          <w:bCs/>
          <w:b/>
        </w:rPr>
        <w:t xml:space="preserve">To:</w:t>
      </w:r>
      <w:r>
        <w:t xml:space="preserve">: Educational Stakeholders &amp; Policymakers</w:t>
      </w:r>
      <w:r>
        <w:br/>
      </w:r>
      <w:r>
        <w:t xml:space="preserve">From: Research Analyst Unit</w:t>
      </w:r>
      <w:r>
        <w:br/>
      </w:r>
      <w:r>
        <w:rPr>
          <w:iCs/>
          <w:i/>
        </w:rPr>
        <w:t xml:space="preserve">This document serves as a comprehensive report on the strategic positioning and functional evolution of the Education Administrator within the dynamic context of Myanmar Yangon.</w:t>
      </w:r>
    </w:p>
    <w:bookmarkStart w:id="20" w:name="introduction"/>
    <w:p>
      <w:pPr>
        <w:pStyle w:val="Heading2"/>
      </w:pPr>
      <w:r>
        <w:t xml:space="preserve">1. Introduction</w:t>
      </w:r>
    </w:p>
    <w:p>
      <w:pPr>
        <w:pStyle w:val="FirstParagraph"/>
      </w:pPr>
      <w:r>
        <w:t xml:space="preserve">In recent years, Myanmar has undergone significant socio-political transformations, with</w:t>
      </w:r>
      <w:r>
        <w:t xml:space="preserve"> </w:t>
      </w:r>
      <w:r>
        <w:rPr>
          <w:bCs/>
          <w:b/>
        </w:rPr>
        <w:t xml:space="preserve">Myanmar Yangon</w:t>
      </w:r>
      <w:r>
        <w:t xml:space="preserve">, as its largest city and former capital, serving as the epicenter of educational reform and administrative challenge. The role of the Education Administrator has evolved from a purely bureaucratic function to that of a strategic leader capable of navigating complex systemic issues. This report examines how an effective Education Administrator operates within this specific geographical and cultural landscape, addressing challenges related to infrastructure, curriculum standardization, teacher welfare, and community engagement.</w:t>
      </w:r>
    </w:p>
    <w:bookmarkEnd w:id="20"/>
    <w:bookmarkStart w:id="22" w:name="the-changing-landscape-in-myanmar-yangon"/>
    <w:p>
      <w:pPr>
        <w:pStyle w:val="Heading2"/>
      </w:pPr>
      <w:r>
        <w:t xml:space="preserve">2. The Changing Landscape in Myanmar Yangon</w:t>
      </w:r>
    </w:p>
    <w:p>
      <w:pPr>
        <w:pStyle w:val="FirstParagraph"/>
      </w:pPr>
      <w:r>
        <w:rPr>
          <w:bCs/>
          <w:b/>
        </w:rPr>
        <w:t xml:space="preserve">Myanmar Yangon</w:t>
      </w:r>
      <w:r>
        <w:t xml:space="preserve">, being the commercial hub of the country historically housed a concentration of top-tier universities and schools. However following recent political upheavals, access to quality education has become increasingly fragmented. The Education Administrator in this context must act as both a protector of educational continuity and an innovator who adapts traditional methods to modern realities.</w:t>
      </w:r>
    </w:p>
    <w:bookmarkStart w:id="21" w:name="key-challenges-identified"/>
    <w:p>
      <w:pPr>
        <w:pStyle w:val="Heading3"/>
      </w:pPr>
      <w:r>
        <w:t xml:space="preserve">21 Key Challenges Identified</w:t>
      </w:r>
    </w:p>
    <w:p>
      <w:pPr>
        <w:numPr>
          <w:ilvl w:val="0"/>
          <w:numId w:val="1001"/>
        </w:numPr>
        <w:pStyle w:val="Compact"/>
      </w:pPr>
      <w:r>
        <w:rPr>
          <w:bCs/>
          <w:b/>
        </w:rPr>
        <w:t xml:space="preserve">Digital Divide:</w:t>
      </w:r>
      <w:r>
        <w:t xml:space="preserve">: Bridging the gap between urban centers like Yangon and rural areas remains a primary concern.</w:t>
      </w:r>
    </w:p>
    <w:p>
      <w:pPr>
        <w:numPr>
          <w:ilvl w:val="0"/>
          <w:numId w:val="1001"/>
        </w:numPr>
        <w:pStyle w:val="Compact"/>
      </w:pPr>
      <w:r>
        <w:rPr>
          <w:bCs/>
          <w:b/>
        </w:rPr>
        <w:t xml:space="preserve">Curriculum Alignment:</w:t>
      </w:r>
      <w:r>
        <w:t xml:space="preserve">: Ensuring that local syllabi align with international standards without eroding national cultural identity.</w:t>
      </w:r>
    </w:p>
    <w:p>
      <w:pPr>
        <w:numPr>
          <w:ilvl w:val="0"/>
          <w:numId w:val="1001"/>
        </w:numPr>
        <w:pStyle w:val="Compact"/>
      </w:pPr>
      <w:r>
        <w:rPr>
          <w:bCs/>
          <w:b/>
        </w:rPr>
        <w:t xml:space="preserve">Teacher Motivation:</w:t>
      </w:r>
      <w:r>
        <w:t xml:space="preserve">: Addressing low morale among educators due to economic instability and lack of resources.</w:t>
      </w:r>
    </w:p>
    <w:bookmarkEnd w:id="21"/>
    <w:bookmarkEnd w:id="22"/>
    <w:bookmarkStart w:id="26" w:name="Xaaa5adc4f4335d41ecac67e356779cba6bceb8d"/>
    <w:p>
      <w:pPr>
        <w:pStyle w:val="Heading2"/>
      </w:pPr>
      <w:r>
        <w:t xml:space="preserve">The Multifaceted Role of the Education Administrator</w:t>
      </w:r>
    </w:p>
    <w:p>
      <w:pPr>
        <w:pStyle w:val="FirstParagraph"/>
      </w:pPr>
      <w:r>
        <w:t xml:space="preserve">An effective Education Administrator in</w:t>
      </w:r>
      <w:r>
        <w:t xml:space="preserve"> </w:t>
      </w:r>
      <w:r>
        <w:rPr>
          <w:bCs/>
          <w:b/>
        </w:rPr>
        <w:t xml:space="preserve">Myanmar Yangon</w:t>
      </w:r>
    </w:p>
    <w:p>
      <w:pPr>
        <w:pStyle w:val="BlockText"/>
      </w:pPr>
      <w:r>
        <w:t xml:space="preserve">"The success of any educational system lies not in its textbooks alone, but in the hands of those who administer them with vision and empathy." – Adapted from Global Education Manifesto</w:t>
      </w:r>
    </w:p>
    <w:bookmarkStart w:id="23" w:name="X9b016d49afba19337e09f0f69f291f8c218bfb3"/>
    <w:p>
      <w:pPr>
        <w:pStyle w:val="Heading3"/>
      </w:pPr>
      <w:r>
        <w:t xml:space="preserve">3.1 Strategic Planning and Policy Implementation</w:t>
      </w:r>
    </w:p>
    <w:p>
      <w:pPr>
        <w:pStyle w:val="FirstParagraph"/>
      </w:pPr>
      <w:r>
        <w:t xml:space="preserve">The Administrator must translate national education goals into actionable plans at the local level. In</w:t>
      </w:r>
      <w:r>
        <w:t xml:space="preserve"> </w:t>
      </w:r>
      <w:r>
        <w:rPr>
          <w:bCs/>
          <w:b/>
        </w:rPr>
        <w:t xml:space="preserve">Myanmar Yangon</w:t>
      </w:r>
      <w:r>
        <w:t xml:space="preserve">, this involves coordinating with regional departments to ensure equitable distribution of resources such as textbooks, laboratory equipment, and digital tools. The administrator acts as a bridge between policy makers in Naypyidaw and practitioners on the ground.</w:t>
      </w:r>
    </w:p>
    <w:bookmarkEnd w:id="23"/>
    <w:bookmarkStart w:id="24" w:name="resource-mobilization"/>
    <w:p>
      <w:pPr>
        <w:pStyle w:val="Heading3"/>
      </w:pPr>
      <w:r>
        <w:t xml:space="preserve">3.2 Resource Mobilization</w:t>
      </w:r>
    </w:p>
    <w:p>
      <w:pPr>
        <w:pStyle w:val="FirstParagraph"/>
      </w:pPr>
      <w:r>
        <w:t xml:space="preserve">Gone are the days when public funding alone could sustain educational institutions. A modern Education Administrator is skilled in securing partnerships with NGOs, international bodies, and private sector entities to supplement state funding. For instance, many schools in Yangon have benefited from NGO-sponsored teacher training programs and computer labs initiated through administrative lobbying efforts.</w:t>
      </w:r>
    </w:p>
    <w:bookmarkEnd w:id="24"/>
    <w:bookmarkStart w:id="25" w:name="community-engagement"/>
    <w:p>
      <w:pPr>
        <w:pStyle w:val="Heading3"/>
      </w:pPr>
      <w:r>
        <w:t xml:space="preserve">3.3 Community Engagement</w:t>
      </w:r>
    </w:p>
    <w:p>
      <w:pPr>
        <w:pStyle w:val="FirstParagraph"/>
      </w:pPr>
      <w:r>
        <w:t xml:space="preserve">In Myanmar’s collectivist culture, community buy-in is crucial for educational success. The Administrator fosters relationships with parents, local leaders, and religious institutions to create a supportive environment for students. Parent-Teacher Associations (PTAs) have been revitalized under new administrative frameworks that emphasize transparency and shared responsibility.</w:t>
      </w:r>
    </w:p>
    <w:bookmarkEnd w:id="25"/>
    <w:bookmarkEnd w:id="26"/>
    <w:bookmarkStart w:id="27" w:name="X5154db0ac0d99fbc9a14e2a652163c8f15e5238"/>
    <w:p>
      <w:pPr>
        <w:pStyle w:val="Heading2"/>
      </w:pPr>
      <w:r>
        <w:t xml:space="preserve">Data Insights: Performance Metrics in Yangon Schools</w:t>
      </w:r>
    </w:p>
    <w:p>
      <w:pPr>
        <w:pStyle w:val="FirstParagraph"/>
      </w:pPr>
      <w:r>
        <w:t xml:space="preserve">Metric</w:t>
      </w:r>
    </w:p>
    <w:p>
      <w:pPr>
        <w:pStyle w:val="BodyText"/>
      </w:pPr>
      <w:r>
        <w:t xml:space="preserve">Benchmark Value</w:t>
      </w:r>
    </w:p>
    <w:p>
      <w:pPr>
        <w:pStyle w:val="BodyText"/>
      </w:pPr>
      <w:r>
        <w:t xml:space="preserve">Status (Yangon)</w:t>
      </w:r>
    </w:p>
    <w:p>
      <w:pPr>
        <w:pStyle w:val="BodyText"/>
      </w:pPr>
      <w:r>
        <w:br/>
      </w:r>
      <w:r>
        <w:t xml:space="preserve">/td&gt;</w:t>
      </w:r>
      <w:r>
        <w:br/>
      </w:r>
      <w:r>
        <w:t xml:space="preserve">/td&gt;</w:t>
      </w:r>
      <w:r>
        <w:br/>
      </w:r>
      <w:r>
        <w:t xml:space="preserve">/div style="width: 100%; overflow-x:auto;"&gt;</w:t>
      </w:r>
    </w:p>
    <w:bookmarkEnd w:id="27"/>
    <w:bookmarkStart w:id="28" w:name="X4ed2a433711403053562b59934d1b862e26fdcd"/>
    <w:p>
      <w:pPr>
        <w:pStyle w:val="Heading2"/>
      </w:pPr>
      <w:r>
        <w:t xml:space="preserve">Cases Study: Transformation through Leadership</w:t>
      </w:r>
    </w:p>
    <w:p>
      <w:pPr>
        <w:pStyle w:val="FirstParagraph"/>
      </w:pPr>
      <w:r>
        <w:t xml:space="preserve">A notable example of successful administration in</w:t>
      </w:r>
      <w:r>
        <w:t xml:space="preserve"> </w:t>
      </w:r>
      <w:r>
        <w:rPr>
          <w:bCs/>
          <w:b/>
        </w:rPr>
        <w:t xml:space="preserve">Myanmar Yangon</w:t>
      </w:r>
      <w:r>
        <w:t xml:space="preserve">, is the case of the Dagon University sector where a new team of Education Administrators introduced flexible learning modules during periods of civil unrest. By decentralizing decision-making power to individual school principals and empowering teachers with online teaching capabilities, they managed to maintain academic continuity for over 500 classrooms.</w:t>
      </w:r>
    </w:p>
    <w:bookmarkEnd w:id="28"/>
    <w:bookmarkStart w:id="29" w:name="future-directions"/>
    <w:p>
      <w:pPr>
        <w:pStyle w:val="Heading2"/>
      </w:pPr>
      <w:r>
        <w:t xml:space="preserve">Future Directions</w:t>
      </w:r>
    </w:p>
    <w:p>
      <w:pPr>
        <w:pStyle w:val="FirstParagraph"/>
      </w:pPr>
      <w:r>
        <w:t xml:space="preserve">To enhance the efficacy of Education Administrators in</w:t>
      </w:r>
      <w:r>
        <w:t xml:space="preserve"> </w:t>
      </w:r>
      <w:r>
        <w:rPr>
          <w:bCs/>
          <w:b/>
        </w:rPr>
        <w:t xml:space="preserve">Myanmar Yangon</w:t>
      </w:r>
      <w:r>
        <w:t xml:space="preserve">, several future-oriented steps are recommended:</w:t>
      </w:r>
    </w:p>
    <w:p>
      <w:pPr>
        <w:numPr>
          <w:ilvl w:val="0"/>
          <w:numId w:val="1002"/>
        </w:numPr>
        <w:pStyle w:val="Compact"/>
      </w:pPr>
      <w:r>
        <w:rPr>
          <w:bCs/>
          <w:b/>
        </w:rPr>
        <w:t xml:space="preserve">Digital Literacy Training:</w:t>
      </w:r>
      <w:r>
        <w:t xml:space="preserve">: Mandatory certification for administrators on using EdTech platforms.</w:t>
      </w:r>
    </w:p>
    <w:p>
      <w:pPr>
        <w:numPr>
          <w:ilvl w:val="0"/>
          <w:numId w:val="1002"/>
        </w:numPr>
        <w:pStyle w:val="Compact"/>
      </w:pPr>
      <w:r>
        <w:rPr>
          <w:bCs/>
          <w:b/>
        </w:rPr>
        <w:t xml:space="preserve">Crisis Management Protocols:</w:t>
      </w:r>
      <w:r>
        <w:t xml:space="preserve">: Developing standardized emergency procedures for schools during political or natural disasters.</w:t>
      </w:r>
    </w:p>
    <w:p>
      <w:pPr>
        <w:numPr>
          <w:ilvl w:val="0"/>
          <w:numId w:val="1002"/>
        </w:numPr>
        <w:pStyle w:val="Compact"/>
      </w:pPr>
      <w:r>
        <w:rPr>
          <w:bCs/>
          <w:b/>
        </w:rPr>
        <w:t xml:space="preserve">Ethical Governance Frameworks:</w:t>
      </w:r>
      <w:r>
        <w:t xml:space="preserve">: Strengthening anti-corruption measures in procurement and hiring processes.</w:t>
      </w:r>
    </w:p>
    <w:bookmarkEnd w:id="29"/>
    <w:bookmarkStart w:id="30" w:name="conclusion"/>
    <w:p>
      <w:pPr>
        <w:pStyle w:val="Heading2"/>
      </w:pPr>
      <w:r>
        <w:t xml:space="preserve">Conclusion</w:t>
      </w:r>
    </w:p>
    <w:p>
      <w:pPr>
        <w:pStyle w:val="FirstParagraph"/>
      </w:pPr>
      <w:r>
        <w:t xml:space="preserve">The role of the Education Administrator in</w:t>
      </w:r>
      <w:r>
        <w:t xml:space="preserve"> </w:t>
      </w:r>
      <w:r>
        <w:rPr>
          <w:bCs/>
          <w:b/>
        </w:rPr>
        <w:t xml:space="preserve">Myanmar Yangon</w:t>
      </w:r>
      <w:r>
        <w:t xml:space="preserve">, is no longer confined to administrative paperwork. It encompasses leadership, innovation, advocacy, and crisis management. As Myanmar continues to navigate its post-conflict reconstruction phase, investing in strong educational administration will yield long-term benefits for national development. The Administrator must be viewed not just as a manager but as a visionary leader who shapes the future generation of citizens.</w:t>
      </w:r>
    </w:p>
    <w:p>
      <w:pPr>
        <w:pStyle w:val="BodyText"/>
      </w:pPr>
      <w:r>
        <w:t xml:space="preserve">This report underscores that empowering Education Administrators with adequate tools, training, and autonomy can significantly improve educational outcomes in</w:t>
      </w:r>
      <w:r>
        <w:t xml:space="preserve"> </w:t>
      </w:r>
      <w:r>
        <w:rPr>
          <w:bCs/>
          <w:b/>
        </w:rPr>
        <w:t xml:space="preserve">Myanmar Yangon</w:t>
      </w:r>
      <w:r>
        <w:t xml:space="preserve">. Future research should focus on longitudinal studies measuring the impact of these administrative reforms on student achievement and teacher retention rates.</w:t>
      </w:r>
    </w:p>
    <w:p>
      <w:pPr>
        <w:pStyle w:val="BodyText"/>
      </w:pPr>
      <w:r>
        <w:t xml:space="preserve">© 2024 Educational Research Institute. All rights reserved.</w:t>
      </w:r>
      <w:r>
        <w:br/>
      </w:r>
      <w:r>
        <w:t xml:space="preserve">Prepared for internal use by stakeholders involved in</w:t>
      </w:r>
      <w:r>
        <w:t xml:space="preserve"> </w:t>
      </w:r>
      <w:r>
        <w:rPr>
          <w:bCs/>
          <w:b/>
        </w:rPr>
        <w:t xml:space="preserve">Myanmar Yangon</w:t>
      </w:r>
      <w:r>
        <w:t xml:space="preserve">, education sector development.</w:t>
      </w:r>
    </w:p>
    <w:p>
      <w:pPr>
        <w:pStyle w:val="BodyText"/>
      </w:pPr>
      <w:r>
        <w:t xml:space="preserve">html&gt;</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 Administrator</dc:title>
  <dc:creator/>
  <dc:language>en</dc:language>
  <cp:keywords/>
  <dcterms:created xsi:type="dcterms:W3CDTF">2026-07-29T07:14:47Z</dcterms:created>
  <dcterms:modified xsi:type="dcterms:W3CDTF">2026-07-29T07:14:47Z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