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Financial</w:t>
      </w:r>
      <w:r>
        <w:t xml:space="preserve"> </w:t>
      </w:r>
      <w:r>
        <w:t xml:space="preserve">Analyst</w:t>
      </w:r>
      <w:r>
        <w:t xml:space="preserve"> </w:t>
      </w:r>
      <w:r>
        <w:t xml:space="preserve">in</w:t>
      </w:r>
      <w:r>
        <w:t xml:space="preserve"> </w:t>
      </w:r>
      <w:r>
        <w:t xml:space="preserve">Israel</w:t>
      </w:r>
      <w:r>
        <w:t xml:space="preserve"> </w:t>
      </w:r>
      <w:r>
        <w:t xml:space="preserve">Jerusalem</w:t>
      </w:r>
    </w:p>
    <w:bookmarkStart w:id="26" w:name="Xe9e00f9246b09243ecacdf690a44105b45873be"/>
    <w:p>
      <w:pPr>
        <w:pStyle w:val="Heading1"/>
      </w:pPr>
      <w:r>
        <w:t xml:space="preserve">A Strategic Synthesis for the Financial Analyst Operating in Israel Jerusalem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Investment Committee and Regional Stakeholders</w:t>
      </w:r>
      <w:r>
        <w:br/>
      </w:r>
      <w:r>
        <w:rPr>
          <w:bCs/>
          <w:b/>
        </w:rPr>
        <w:t xml:space="preserve">From:</w:t>
      </w:r>
      <w:r>
        <w:t xml:space="preserve"> </w:t>
      </w:r>
      <w:r>
        <w:t xml:space="preserve">Junior Research Associate</w:t>
      </w:r>
      <w:r>
        <w:br/>
      </w:r>
    </w:p>
    <w:p>
      <w:pPr>
        <w:pStyle w:val="BodyText"/>
      </w:pPr>
      <w:r>
        <w:t xml:space="preserve">&gt;</w:t>
      </w:r>
    </w:p>
    <w:bookmarkStart w:id="20" w:name="i.-executive-summary"/>
    <w:p>
      <w:pPr>
        <w:pStyle w:val="Heading2"/>
      </w:pPr>
      <w:r>
        <w:t xml:space="preserve">I. Executive Summary</w:t>
      </w:r>
    </w:p>
    <w:p>
      <w:pPr>
        <w:pStyle w:val="FirstParagraph"/>
      </w:pPr>
      <w:r>
        <w:t xml:space="preserve">The role of the</w:t>
      </w:r>
      <w:r>
        <w:t xml:space="preserve"> </w:t>
      </w:r>
      <w:r>
        <w:rPr>
          <w:bCs/>
          <w:b/>
          <w:iCs/>
          <w:i/>
          <w:u w:val="single"/>
          <w:bCs/>
          <w:b/>
        </w:rPr>
        <w:t xml:space="preserve">Financial Analyst</w:t>
      </w:r>
      <w:r>
        <w:t xml:space="preserve"> </w:t>
      </w:r>
      <w:r>
        <w:t xml:space="preserve">has undergone a profound transformation in recent years, shifting from a purely retrospective accounting function to a prospective strategic advisory role. This report synthesizes key literature regarding modern financial management, corporate governance, and market dynamics. However, the standard Western models of financial analysis are insufficient when applied directly to the unique economic landscape of</w:t>
      </w:r>
      <w:r>
        <w:t xml:space="preserve"> </w:t>
      </w:r>
      <w:r>
        <w:rPr>
          <w:bCs/>
          <w:b/>
          <w:iCs/>
          <w:i/>
          <w:u w:val="single"/>
          <w:bCs/>
          <w:b/>
        </w:rPr>
        <w:t xml:space="preserve">Israel Jerusalem</w:t>
      </w:r>
      <w:r>
        <w:t xml:space="preserve">. This document serves as a comprehensive book report that adapts general financial principles to the specific geopolitical, cultural, and economic realities of this region. It argues that a successful Financial Analyst must possess not only technical proficiency in valuation and risk management but also a deep understanding of the local ecosystem in Israel Jerusalem.</w:t>
      </w:r>
    </w:p>
    <w:bookmarkEnd w:id="20"/>
    <w:bookmarkStart w:id="21" w:name="Xd663fc42a23e13d50af8135e13b421e8b9b0b5a"/>
    <w:p>
      <w:pPr>
        <w:pStyle w:val="Heading2"/>
      </w:pPr>
      <w:r>
        <w:t xml:space="preserve">II. The Evolving Role of the Modern Financial Analyst</w:t>
      </w:r>
    </w:p>
    <w:p>
      <w:pPr>
        <w:pStyle w:val="FirstParagraph"/>
      </w:pPr>
      <w:r>
        <w:t xml:space="preserve">In contemporary literature, such as</w:t>
      </w:r>
      <w:r>
        <w:t xml:space="preserve"> </w:t>
      </w:r>
      <w:r>
        <w:rPr>
          <w:iCs/>
          <w:i/>
        </w:rPr>
        <w:t xml:space="preserve">The Strategic CFO</w:t>
      </w:r>
      <w:r>
        <w:t xml:space="preserve">, the definition of a Financial Analyst is expanded beyond number-crunching. Today’s analyst is expected to be a business partner who interprets data to drive decision-making. In a volatile global market, this requires agility and foresight. The modern analyst must master financial modeling, regulatory compliance, and technological integration. However, these generic skills form only the baseline competency required for any professional operating in international markets.</w:t>
      </w:r>
    </w:p>
    <w:p>
      <w:pPr>
        <w:pStyle w:val="BodyText"/>
      </w:pPr>
      <w:r>
        <w:t xml:space="preserve">The transition from traditional analysis to strategic intelligence is critical because capital allocation decisions have far-reaching consequences on corporate sustainability and shareholder value. This book report highlights that while the tools of analysis remain largely consistent across borders, the context in which these tools are applied dictates their effectiveness. Therefore, before diving into specific metrics, one must understand the environment in which the</w:t>
      </w:r>
      <w:r>
        <w:t xml:space="preserve"> </w:t>
      </w:r>
      <w:r>
        <w:rPr>
          <w:bCs/>
          <w:b/>
          <w:iCs/>
          <w:i/>
          <w:u w:val="single"/>
          <w:bCs/>
          <w:b/>
        </w:rPr>
        <w:t xml:space="preserve">Financial Analyst</w:t>
      </w:r>
      <w:r>
        <w:t xml:space="preserve"> </w:t>
      </w:r>
      <w:r>
        <w:t xml:space="preserve">operates.</w:t>
      </w:r>
    </w:p>
    <w:bookmarkEnd w:id="21"/>
    <w:bookmarkStart w:id="22" w:name="X58ee8f43e64e7de7c25fb6dd9297cfca2345cea"/>
    <w:p>
      <w:pPr>
        <w:pStyle w:val="Heading2"/>
      </w:pPr>
      <w:r>
        <w:t xml:space="preserve">III. The Unique Context of Israel Jerusalem</w:t>
      </w:r>
    </w:p>
    <w:p>
      <w:pPr>
        <w:pStyle w:val="FirstParagraph"/>
      </w:pPr>
      <w:r>
        <w:t xml:space="preserve">The economic landscape of</w:t>
      </w:r>
      <w:r>
        <w:t xml:space="preserve"> </w:t>
      </w:r>
      <w:r>
        <w:rPr>
          <w:bCs/>
          <w:b/>
          <w:iCs/>
          <w:i/>
          <w:u w:val="single"/>
          <w:bCs/>
          <w:b/>
        </w:rPr>
        <w:t xml:space="preserve">Israel Jerusalem</w:t>
      </w:r>
    </w:p>
    <w:p>
      <w:pPr>
        <w:pStyle w:val="BodyText"/>
      </w:pPr>
      <w:r>
        <w:t xml:space="preserve">Firstly, the geopolitical stability of</w:t>
      </w:r>
      <w:r>
        <w:t xml:space="preserve"> </w:t>
      </w:r>
      <w:r>
        <w:rPr>
          <w:bCs/>
          <w:b/>
          <w:iCs/>
          <w:i/>
          <w:u w:val="single"/>
          <w:bCs/>
          <w:b/>
        </w:rPr>
        <w:t xml:space="preserve">Israel Jerusalem</w:t>
      </w:r>
      <w:r>
        <w:t xml:space="preserve"> </w:t>
      </w:r>
      <w:r>
        <w:t xml:space="preserve">remains a primary variable in financial forecasting. Political tensions can lead to sudden fluctuations in currency exchange rates and foreign direct investment flows. An analyst must therefore incorporate risk assessment models that account for geopolitical events, moving beyond traditional beta coefficients to include qualitative political risk indicators.</w:t>
      </w:r>
    </w:p>
    <w:p>
      <w:pPr>
        <w:pStyle w:val="BodyText"/>
      </w:pPr>
      <w:r>
        <w:t xml:space="preserve">Secondly, the demographic composition of</w:t>
      </w:r>
      <w:r>
        <w:t xml:space="preserve"> </w:t>
      </w:r>
      <w:r>
        <w:rPr>
          <w:bCs/>
          <w:b/>
          <w:iCs/>
          <w:i/>
          <w:u w:val="single"/>
          <w:bCs/>
          <w:b/>
        </w:rPr>
        <w:t xml:space="preserve">Israel Jerusalem</w:t>
      </w:r>
      <w:r>
        <w:t xml:space="preserve"> </w:t>
      </w:r>
      <w:r>
        <w:t xml:space="preserve">influences consumer behavior and labor markets. The coexistence of secular, religious, and ultra-Orthodox communities creates a diverse but segmented market. Financial strategies must respect these distinctions, particularly in sectors like food production, retail, and financial services where religious law (Halakha) may dictate product offerings or operational hours.</w:t>
      </w:r>
    </w:p>
    <w:bookmarkEnd w:id="22"/>
    <w:bookmarkStart w:id="23" w:name="X60c7115f3a5f13e2b6b0c0f1f4d05b15e5e89b8"/>
    <w:p>
      <w:pPr>
        <w:pStyle w:val="Heading2"/>
      </w:pPr>
      <w:r>
        <w:t xml:space="preserve">IV. Adaptation of Financial Principles to Local Realities</w:t>
      </w:r>
    </w:p>
    <w:p>
      <w:pPr>
        <w:pStyle w:val="FirstParagraph"/>
      </w:pPr>
      <w:r>
        <w:rPr>
          <w:bCs/>
          <w:b/>
        </w:rPr>
        <w:t xml:space="preserve">A. Valuation Methods in a High-Growth Tech Hub</w:t>
      </w:r>
      <w:r>
        <w:br/>
      </w:r>
      <w:r>
        <w:t xml:space="preserve">Israel is known as the "Startup Nation," and</w:t>
      </w:r>
      <w:r>
        <w:t xml:space="preserve"> </w:t>
      </w:r>
      <w:r>
        <w:rPr>
          <w:bCs/>
          <w:b/>
          <w:iCs/>
          <w:i/>
          <w:u w:val="single"/>
          <w:bCs/>
          <w:b/>
        </w:rPr>
        <w:t xml:space="preserve">Israel Jerusalem</w:t>
      </w:r>
      <w:r>
        <w:t xml:space="preserve"> </w:t>
      </w:r>
      <w:r>
        <w:t xml:space="preserve">has emerged as a growing tech ecosystem, particularly in cybersecurity and AI. For a</w:t>
      </w:r>
      <w:r>
        <w:t xml:space="preserve"> </w:t>
      </w:r>
      <w:r>
        <w:rPr>
          <w:bCs/>
          <w:b/>
          <w:iCs/>
          <w:i/>
          <w:u w:val="single"/>
          <w:bCs/>
          <w:b/>
        </w:rPr>
        <w:t xml:space="preserve">Financial Analyst</w:t>
      </w:r>
      <w:r>
        <w:t xml:space="preserve">, traditional Discounted Cash Flow (DCF) models may undervalue early-stage companies with high growth potential but no immediate cash flow. Instead, analysts must adapt by using Venture Capital methods of valuation, such as the Scorecard Method or the Berkus Method. Furthermore, intangible assets like intellectual property and human capital are paramount in</w:t>
      </w:r>
      <w:r>
        <w:t xml:space="preserve"> </w:t>
      </w:r>
      <w:r>
        <w:rPr>
          <w:bCs/>
          <w:b/>
          <w:iCs/>
          <w:i/>
          <w:u w:val="single"/>
          <w:bCs/>
          <w:b/>
        </w:rPr>
        <w:t xml:space="preserve">Israel Jerusalem</w:t>
      </w:r>
      <w:r>
        <w:t xml:space="preserve">, requiring analysts to value brand equity and talent retention strategies more heavily than physical assets.</w:t>
      </w:r>
    </w:p>
    <w:p>
      <w:pPr>
        <w:pStyle w:val="BodyText"/>
      </w:pPr>
      <w:r>
        <w:rPr>
          <w:bCs/>
          <w:b/>
        </w:rPr>
        <w:t xml:space="preserve">B. Regulatory Compliance and Ethical Considerations</w:t>
      </w:r>
      <w:r>
        <w:br/>
      </w:r>
      <w:r>
        <w:t xml:space="preserve">Operating in</w:t>
      </w:r>
      <w:r>
        <w:t xml:space="preserve"> </w:t>
      </w:r>
      <w:r>
        <w:rPr>
          <w:bCs/>
          <w:b/>
          <w:iCs/>
          <w:i/>
          <w:u w:val="single"/>
          <w:bCs/>
          <w:b/>
        </w:rPr>
        <w:t xml:space="preserve">Israel Jerusalem</w:t>
      </w:r>
      <w:r>
        <w:t xml:space="preserve">, the</w:t>
      </w:r>
      <w:r>
        <w:t xml:space="preserve"> </w:t>
      </w:r>
      <w:r>
        <w:rPr>
          <w:bCs/>
          <w:b/>
          <w:iCs/>
          <w:i/>
          <w:u w:val="single"/>
          <w:bCs/>
          <w:b/>
        </w:rPr>
        <w:t xml:space="preserve">Financial Analyst</w:t>
      </w:r>
      <w:r>
        <w:t xml:space="preserve"> </w:t>
      </w:r>
      <w:r>
        <w:t xml:space="preserve">must navigate complex regulatory frameworks set by the Israel Securities Authority (ISA). These regulations are stringent and often aligned with international standards, yet they contain local nuances. For instance, reporting requirements for Israeli public companies differ in format and frequency from those in the US or EU. Additionally, ethical considerations regarding corruption and bribery are paramount; understanding local business customs while maintaining strict compliance is a delicate balance that defines professional integrity.</w:t>
      </w:r>
    </w:p>
    <w:p>
      <w:pPr>
        <w:pStyle w:val="BodyText"/>
      </w:pPr>
      <w:r>
        <w:rPr>
          <w:bCs/>
          <w:b/>
        </w:rPr>
        <w:t xml:space="preserve">C. Currency Risk Management</w:t>
      </w:r>
      <w:r>
        <w:br/>
      </w:r>
      <w:r>
        <w:t xml:space="preserve">The shekel (NIS) can be volatile relative to the US Dollar and Euro. For multinational corporations operating in</w:t>
      </w:r>
      <w:r>
        <w:t xml:space="preserve"> </w:t>
      </w:r>
      <w:r>
        <w:rPr>
          <w:bCs/>
          <w:b/>
          <w:iCs/>
          <w:i/>
          <w:u w:val="single"/>
          <w:bCs/>
          <w:b/>
        </w:rPr>
        <w:t xml:space="preserve">Israel Jerusalem</w:t>
      </w:r>
      <w:r>
        <w:t xml:space="preserve">, hedging strategies are essential. A proficient</w:t>
      </w:r>
      <w:r>
        <w:t xml:space="preserve"> </w:t>
      </w:r>
      <w:r>
        <w:rPr>
          <w:bCs/>
          <w:b/>
          <w:iCs/>
          <w:i/>
          <w:u w:val="single"/>
          <w:bCs/>
          <w:b/>
        </w:rPr>
        <w:t xml:space="preserve">Financial Analyst</w:t>
      </w:r>
      <w:r>
        <w:t xml:space="preserve"> </w:t>
      </w:r>
      <w:r>
        <w:t xml:space="preserve">must monitor central bank policies and global trade dynamics that impact the shekel’s strength. This requires a macro-economic outlook that integrates local political developments with global monetary trends.</w:t>
      </w:r>
    </w:p>
    <w:bookmarkEnd w:id="23"/>
    <w:bookmarkStart w:id="24" w:name="X0259a85620b30af95c8df3d812ebd8c241a0b4f"/>
    <w:p>
      <w:pPr>
        <w:pStyle w:val="Heading2"/>
      </w:pPr>
      <w:r>
        <w:t xml:space="preserve">V. Cultural Intelligence as a Financial Tool</w:t>
      </w:r>
    </w:p>
    <w:p>
      <w:pPr>
        <w:pStyle w:val="FirstParagraph"/>
      </w:pPr>
      <w:r>
        <w:t xml:space="preserve">In</w:t>
      </w:r>
      <w:r>
        <w:t xml:space="preserve"> </w:t>
      </w:r>
      <w:r>
        <w:rPr>
          <w:bCs/>
          <w:b/>
          <w:iCs/>
          <w:i/>
          <w:u w:val="single"/>
          <w:bCs/>
          <w:b/>
        </w:rPr>
        <w:t xml:space="preserve">Israel Jerusalem</w:t>
      </w:r>
      <w:r>
        <w:t xml:space="preserve">, relationships often precede transactions. The concept of "knowing someone" in business is prevalent. Therefore, the role of the</w:t>
      </w:r>
      <w:r>
        <w:t xml:space="preserve"> </w:t>
      </w:r>
      <w:r>
        <w:rPr>
          <w:bCs/>
          <w:b/>
          <w:iCs/>
          <w:i/>
          <w:u w:val="single"/>
          <w:bCs/>
          <w:b/>
        </w:rPr>
        <w:t xml:space="preserve">Financial Analyst</w:t>
      </w:r>
      <w:r>
        <w:t xml:space="preserve"> </w:t>
      </w:r>
      <w:r>
        <w:t xml:space="preserve">extends into relationship management. Building trust with local stakeholders, government officials, and community leaders can facilitate smoother approvals for large projects or investments. Cultural intelligence allows the analyst to interpret non-financial data—such as community sentiment or political alliances—which can be leading indicators of financial performance.</w:t>
      </w:r>
    </w:p>
    <w:bookmarkEnd w:id="24"/>
    <w:bookmarkStart w:id="25" w:name="vii.-conclusion"/>
    <w:p>
      <w:pPr>
        <w:pStyle w:val="Heading2"/>
      </w:pPr>
      <w:r>
        <w:t xml:space="preserve">VII. Conclusion</w:t>
      </w:r>
    </w:p>
    <w:p>
      <w:pPr>
        <w:pStyle w:val="FirstParagraph"/>
      </w:pPr>
      <w:r>
        <w:t xml:space="preserve">In conclusion, the profile of a successful</w:t>
      </w:r>
      <w:r>
        <w:t xml:space="preserve"> </w:t>
      </w:r>
      <w:r>
        <w:rPr>
          <w:bCs/>
          <w:b/>
          <w:iCs/>
          <w:i/>
          <w:u w:val="single"/>
          <w:bCs/>
          <w:b/>
        </w:rPr>
        <w:t xml:space="preserve">Financial Analyst</w:t>
      </w:r>
      <w:r>
        <w:t xml:space="preserve"> </w:t>
      </w:r>
      <w:r>
        <w:t xml:space="preserve">in today’s world is multifaceted. While technical skills in accounting, finance, and data analysis are non-negotiable foundations, they are not sufficient for success in specialized markets. When applied to the dynamic and complex environment of</w:t>
      </w:r>
      <w:r>
        <w:t xml:space="preserve"> </w:t>
      </w:r>
      <w:r>
        <w:rPr>
          <w:bCs/>
          <w:b/>
          <w:iCs/>
          <w:i/>
          <w:u w:val="single"/>
          <w:bCs/>
          <w:b/>
        </w:rPr>
        <w:t xml:space="preserve">Israel Jerusalem</w:t>
      </w:r>
      <w:r>
        <w:t xml:space="preserve">, these skills must be augmented by a deep appreciation for local geopolitical risks, cultural nuances, and regulatory specifics.</w:t>
      </w:r>
    </w:p>
    <w:p>
      <w:pPr>
        <w:pStyle w:val="BodyText"/>
      </w:pPr>
      <w:r>
        <w:t xml:space="preserve">This book report underscores that financial analysis is not merely a mathematical exercise but a contextual discipline. For institutions and investors focused on</w:t>
      </w:r>
      <w:r>
        <w:t xml:space="preserve"> </w:t>
      </w:r>
      <w:r>
        <w:rPr>
          <w:bCs/>
          <w:b/>
          <w:iCs/>
          <w:i/>
          <w:u w:val="single"/>
          <w:bCs/>
          <w:b/>
        </w:rPr>
        <w:t xml:space="preserve">Israel Jerusalem</w:t>
      </w:r>
      <w:r>
        <w:t xml:space="preserve">, the integration of rigorous global standards with localized strategic insights will be the determining factor in sustainable financial growth. The modern analyst must therefore act as both a guardian of capital and a navigator of local complexity, ensuring that financial strategies are robust, ethical, and culturally attuned to the unique spirit of Jerusalem.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Financial Analyst in Israel Jerusalem</dc:title>
  <dc:creator/>
  <dc:language>en</dc:language>
  <cp:keywords/>
  <dcterms:created xsi:type="dcterms:W3CDTF">2026-07-29T18:00:08Z</dcterms:created>
  <dcterms:modified xsi:type="dcterms:W3CDTF">2026-07-29T18:00:08Z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