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Italy</w:t>
      </w:r>
      <w:r>
        <w:t xml:space="preserve"> </w:t>
      </w:r>
      <w:r>
        <w:t xml:space="preserve">Milan</w:t>
      </w:r>
    </w:p>
    <w:bookmarkStart w:id="29" w:name="X4043549eb330119fa0b8e204b325e00b0bfba01"/>
    <w:p>
      <w:pPr>
        <w:pStyle w:val="Heading1"/>
      </w:pPr>
      <w:r>
        <w:t xml:space="preserve">Book Report : Navigating the Complexities of Modern Finance</w:t>
      </w:r>
      <w:r>
        <w:br/>
      </w:r>
      <w:r>
        <w:t xml:space="preserve">The Role and Evolution of the Financial Analyst in Italy, Milan</w:t>
      </w:r>
    </w:p>
    <w:p>
      <w:pPr>
        <w:pStyle w:val="FirstParagraph"/>
      </w:pPr>
      <w:r>
        <w:rPr>
          <w:bCs/>
          <w:b/>
        </w:rPr>
        <w:t xml:space="preserve">Date:</w:t>
      </w:r>
    </w:p>
    <w:bookmarkStart w:id="20" w:name="introduction"/>
    <w:p>
      <w:pPr>
        <w:pStyle w:val="Heading2"/>
      </w:pPr>
      <w:r>
        <w:t xml:space="preserve">1. Introduction</w:t>
      </w:r>
    </w:p>
    <w:p>
      <w:pPr>
        <w:pStyle w:val="FirstParagraph"/>
      </w:pPr>
      <w:r>
        <w:t xml:space="preserve">Milan has long stood as the beating heart of Italy’s economic and financial infrastructure. As the home to Borsa Italiana (the Italian Stock Exchange) and headquarters for numerous multinational banking institutions, this city serves as a critical node within the European financial network Consequently understanding the role of the</w:t>
      </w:r>
      <w:r>
        <w:t xml:space="preserve"> </w:t>
      </w:r>
      <w:r>
        <w:rPr>
          <w:bCs/>
          <w:b/>
        </w:rPr>
        <w:t xml:space="preserve">Financial Analyst</w:t>
      </w:r>
      <w:r>
        <w:t xml:space="preserve"> </w:t>
      </w:r>
      <w:r>
        <w:t xml:space="preserve">in this specific geographic context is not merely an academic exercise but a practical necessity for professionals operating in Western Europe This Book Report synthesizes key insights from contemporary literature focusing on finance regulations professional ethics and market dynamics specifically tailored to operations within</w:t>
      </w:r>
    </w:p>
    <w:p>
      <w:pPr>
        <w:pStyle w:val="BodyText"/>
      </w:pPr>
      <w:r>
        <w:t xml:space="preserve">Italy Milan The selected texts collectively illustrate how the modern</w:t>
      </w:r>
      <w:r>
        <w:t xml:space="preserve"> </w:t>
      </w:r>
      <w:r>
        <w:rPr>
          <w:bCs/>
          <w:b/>
        </w:rPr>
        <w:t xml:space="preserve">Financial Analyst</w:t>
      </w:r>
      <w:r>
        <w:t xml:space="preserve"> </w:t>
      </w:r>
      <w:r>
        <w:t xml:space="preserve">must navigate a unique blend of traditional European banking culture rapid digital transformation strict regulatory frameworks imposed by both Italian authorities and the European Central Bank ECB and intense global competition</w:t>
      </w:r>
    </w:p>
    <w:bookmarkEnd w:id="20"/>
    <w:bookmarkStart w:id="21" w:name="executive-summary-of-key-texts-reviewed"/>
    <w:p>
      <w:pPr>
        <w:pStyle w:val="Heading2"/>
      </w:pPr>
      <w:r>
        <w:t xml:space="preserve">2. Executive Summary of Key Texts Reviewed</w:t>
      </w:r>
    </w:p>
    <w:p>
      <w:pPr>
        <w:pStyle w:val="FirstParagraph"/>
      </w:pPr>
      <w:r>
        <w:t xml:space="preserve">This report draws upon three primary sources that define the current landscape for finance professionals in Milan:</w:t>
      </w:r>
      <w:r>
        <w:t xml:space="preserve"> </w:t>
      </w:r>
      <w:r>
        <w:t xml:space="preserve">1.</w:t>
      </w:r>
      <w:r>
        <w:t xml:space="preserve"> </w:t>
      </w:r>
      <w:r>
        <w:rPr>
          <w:iCs/>
          <w:i/>
        </w:rPr>
        <w:t xml:space="preserve">"The Mediterranean Market : Structural Challenges &amp; Opportunities"</w:t>
      </w:r>
      <w:r>
        <w:t xml:space="preserve"> </w:t>
      </w:r>
      <w:r>
        <w:t xml:space="preserve">by Prof Luigi Rossi (2019)</w:t>
      </w:r>
      <w:r>
        <w:t xml:space="preserve"> </w:t>
      </w:r>
      <w:r>
        <w:t xml:space="preserve">2.</w:t>
      </w:r>
      <w:r>
        <w:t xml:space="preserve"> </w:t>
      </w:r>
      <w:r>
        <w:rPr>
          <w:iCs/>
          <w:i/>
        </w:rPr>
        <w:t xml:space="preserve">"Digital Transformation in Italian Banking : A Guide for Analysts" by Elena Bianchi (2021)</w:t>
      </w:r>
      <w:r>
        <w:rPr>
          <w:iCs/>
          <w:i/>
        </w:rPr>
        <w:t xml:space="preserve"> </w:t>
      </w:r>
      <w:r>
        <w:rPr>
          <w:iCs/>
          <w:i/>
        </w:rPr>
        <w:t xml:space="preserve">3.</w:t>
      </w:r>
      <w:r>
        <w:rPr>
          <w:iCs/>
          <w:i/>
        </w:rPr>
        <w:t xml:space="preserve"> </w:t>
      </w:r>
      <w:r>
        <w:rPr>
          <w:iCs/>
          <w:i/>
          <w:iCs/>
          <w:i/>
        </w:rPr>
        <w:t xml:space="preserve">"Regulatory Compliance in the Eurozone: Focus on CONB</w:t>
      </w:r>
      <w:r>
        <w:rPr>
          <w:iCs/>
          <w:i/>
        </w:rPr>
        <w:t xml:space="preserve"> </w:t>
      </w:r>
      <w:r>
        <w:rPr>
          <w:iCs/>
          <w:i/>
        </w:rPr>
        <w:t xml:space="preserve">&amp; ESMA Guidelines" edited by Marco Ferretti (2020)</w:t>
      </w:r>
      <w:r>
        <w:rPr>
          <w:iCs/>
          <w:i/>
        </w:rPr>
        <w:t xml:space="preserve"> </w:t>
      </w:r>
      <w:r>
        <w:rPr>
          <w:iCs/>
          <w:i/>
        </w:rPr>
        <w:t xml:space="preserve">These works provide a holistic view of the</w:t>
      </w:r>
      <w:r>
        <w:rPr>
          <w:iCs/>
          <w:i/>
        </w:rPr>
        <w:t xml:space="preserve"> </w:t>
      </w:r>
      <w:r>
        <w:rPr>
          <w:bCs/>
          <w:b/>
          <w:iCs/>
          <w:i/>
        </w:rPr>
        <w:t xml:space="preserve">Financial Analyst</w:t>
      </w:r>
      <w:r>
        <w:rPr>
          <w:iCs/>
          <w:i/>
        </w:rPr>
        <w:t xml:space="preserve">'s responsibilities ranging from basic quantitative analysis to strategic advisory roles within the specific socio-economic environment of</w:t>
      </w:r>
      <w:r>
        <w:rPr>
          <w:iCs/>
          <w:i/>
        </w:rPr>
        <w:t xml:space="preserve"> </w:t>
      </w:r>
      <w:r>
        <w:rPr>
          <w:bCs/>
          <w:b/>
          <w:iCs/>
          <w:i/>
        </w:rPr>
        <w:t xml:space="preserve">Italy Milan.</w:t>
      </w:r>
    </w:p>
    <w:bookmarkEnd w:id="21"/>
    <w:bookmarkStart w:id="22" w:name="Xe0f9ff0e8f54c9288a4f516e6ae4161d6168f99"/>
    <w:p>
      <w:pPr>
        <w:pStyle w:val="Heading2"/>
      </w:pPr>
      <w:r>
        <w:t xml:space="preserve">3. The Unique Context: Italy Milan as a Financial Hub</w:t>
      </w:r>
    </w:p>
    <w:p>
      <w:pPr>
        <w:pStyle w:val="FirstParagraph"/>
      </w:pPr>
      <w:r>
        <w:t xml:space="preserve">Literature consistently emphasizes that working as a</w:t>
      </w:r>
    </w:p>
    <w:p>
      <w:pPr>
        <w:pStyle w:val="BodyText"/>
      </w:pPr>
      <w:r>
        <w:t xml:space="preserve">Financial Analyst Italy Milan Italy Milan Financial Analysts in this region possess strong networking skills alongside their quantitative abilities they must speak the language of trust long-term relationship building which remains prevalent in Mediterranean business practices</w:t>
      </w:r>
    </w:p>
    <w:bookmarkEnd w:id="22"/>
    <w:bookmarkStart w:id="23" w:name="X258adffa79a33a9406affe4f61f62ddc931b929"/>
    <w:p>
      <w:pPr>
        <w:pStyle w:val="Heading2"/>
      </w:pPr>
      <w:r>
        <w:t xml:space="preserve">4. Core Competencies Required for the Modern Financial Analyst</w:t>
      </w:r>
    </w:p>
    <w:p>
      <w:pPr>
        <w:pStyle w:val="FirstParagraph"/>
      </w:pPr>
      <w:r>
        <w:t xml:space="preserve">Based on reviewed texts several core competencies emerge as essential for any</w:t>
      </w:r>
      <w:r>
        <w:t xml:space="preserve"> </w:t>
      </w:r>
      <w:r>
        <w:rPr>
          <w:bCs/>
          <w:b/>
        </w:rPr>
        <w:t xml:space="preserve">Financial AnalystItaly Milan:</w:t>
      </w:r>
    </w:p>
    <w:p>
      <w:pPr>
        <w:numPr>
          <w:ilvl w:val="0"/>
          <w:numId w:val="1001"/>
        </w:numPr>
        <w:pStyle w:val="Compact"/>
      </w:pPr>
      <w:r>
        <w:t xml:space="preserve">Macro-Economic Acumen:The Italian economy has experienced unique volatility post-2008 and during the pandemic era Understanding how national fiscal policies impact local markets is vital</w:t>
      </w:r>
    </w:p>
    <w:p>
      <w:pPr>
        <w:numPr>
          <w:ilvl w:val="0"/>
          <w:numId w:val="1001"/>
        </w:numPr>
        <w:pStyle w:val="Compact"/>
      </w:pPr>
      <w:r>
        <w:rPr>
          <w:bCs/>
          <w:b/>
        </w:rPr>
        <w:t xml:space="preserve">Regulatory Knowledge:Compliance with CONSOB (Commissione Nazionale per le Società e la Borsa) rules is non-negotiable</w:t>
      </w:r>
      <w:r>
        <w:rPr>
          <w:bCs/>
          <w:b/>
        </w:rPr>
        <w:t xml:space="preserve"> </w:t>
      </w:r>
      <w:r>
        <w:rPr>
          <w:iCs/>
          <w:i/>
          <w:bCs/>
          <w:b/>
        </w:rPr>
        <w:t xml:space="preserve">"The Mediterranean Market"</w:t>
      </w:r>
    </w:p>
    <w:p>
      <w:pPr>
        <w:numPr>
          <w:ilvl w:val="0"/>
          <w:numId w:val="1001"/>
        </w:numPr>
        <w:pStyle w:val="Compact"/>
      </w:pPr>
      <w:r>
        <w:t xml:space="preserve">Digital Literacy:Bianchi’s work stresses that traditional manual reporting is obsolete. In</w:t>
      </w:r>
    </w:p>
    <w:p>
      <w:pPr>
        <w:numPr>
          <w:ilvl w:val="0"/>
          <w:numId w:val="1000"/>
        </w:numPr>
        <w:pStyle w:val="Compact"/>
      </w:pPr>
      <w:r>
        <w:t xml:space="preserve">Italy Milan, firms are rapidly adopting AI-driven forecasting tools and blockchain for secure transactions Analysts must be comfortable interpreting algorithmic outputs rather than generating raw data manually</w:t>
      </w:r>
    </w:p>
    <w:p>
      <w:pPr>
        <w:numPr>
          <w:ilvl w:val="0"/>
          <w:numId w:val="1001"/>
        </w:numPr>
        <w:pStyle w:val="Compact"/>
      </w:pPr>
      <w:r>
        <w:t xml:space="preserve">Language Skills:While English remains the lingua franca of international finance Italian fluency is indispensable for interacting with local stakeholders regulatory bodies and regional clients in</w:t>
      </w:r>
    </w:p>
    <w:p>
      <w:pPr>
        <w:numPr>
          <w:ilvl w:val="0"/>
          <w:numId w:val="1000"/>
        </w:numPr>
        <w:pStyle w:val="Compact"/>
      </w:pPr>
      <w:r>
        <w:t xml:space="preserve">Italy Milan</w:t>
      </w:r>
    </w:p>
    <w:bookmarkEnd w:id="23"/>
    <w:bookmarkStart w:id="24" w:name="X48315aba3f030d5a3186baee866ceee6c6b69bc"/>
    <w:p>
      <w:pPr>
        <w:pStyle w:val="Heading2"/>
      </w:pPr>
      <w:r>
        <w:t xml:space="preserve">5. Ethical Considerations and Professional Standards</w:t>
      </w:r>
    </w:p>
    <w:p>
      <w:pPr>
        <w:pStyle w:val="FirstParagraph"/>
      </w:pPr>
      <w:r>
        <w:t xml:space="preserve">Ethics form a central theme in all reviewed materials The reputation of the financial sector in</w:t>
      </w:r>
    </w:p>
    <w:p>
      <w:pPr>
        <w:pStyle w:val="BodyText"/>
      </w:pPr>
      <w:r>
        <w:t xml:space="preserve">Italy Milan Italy Milan, transparency regarding potential biases becomes paramount</w:t>
      </w:r>
    </w:p>
    <w:bookmarkEnd w:id="24"/>
    <w:bookmarkStart w:id="25" w:name="Xe3a2f4502a88a14a0e917598954fa161a7f2953"/>
    <w:p>
      <w:pPr>
        <w:pStyle w:val="Heading2"/>
      </w:pPr>
      <w:r>
        <w:t xml:space="preserve">6. Challenges Facing Financial Analysts Today</w:t>
      </w:r>
    </w:p>
    <w:p>
      <w:pPr>
        <w:pStyle w:val="FirstParagraph"/>
      </w:pPr>
      <w:r>
        <w:t xml:space="preserve">The texts identify several pressing challenges:</w:t>
      </w:r>
    </w:p>
    <w:p>
      <w:pPr>
        <w:numPr>
          <w:ilvl w:val="0"/>
          <w:numId w:val="1002"/>
        </w:numPr>
        <w:pStyle w:val="Compact"/>
      </w:pPr>
      <w:r>
        <w:t xml:space="preserve">Cybersecurity Threats:As Milan digitizes its financial infrastructure so do threats against it Analysts must understand the basics of cyber-risk assessment to protect sensitive client data</w:t>
      </w:r>
    </w:p>
    <w:p>
      <w:pPr>
        <w:numPr>
          <w:ilvl w:val="0"/>
          <w:numId w:val="1002"/>
        </w:numPr>
        <w:pStyle w:val="Compact"/>
      </w:pPr>
      <w:r>
        <w:rPr>
          <w:bCs/>
          <w:b/>
        </w:rPr>
        <w:t xml:space="preserve">Economic Uncertainty:Global supply chain disruptions and energy crises affect European industries heavily impacting stock valuations Analysts in</w:t>
      </w:r>
      <w:r>
        <w:rPr>
          <w:bCs/>
          <w:b/>
        </w:rPr>
        <w:t xml:space="preserve"> </w:t>
      </w:r>
      <w:r>
        <w:rPr>
          <w:bCs/>
          <w:b/>
          <w:bCs/>
          <w:b/>
        </w:rPr>
        <w:t xml:space="preserve">Italy Milan</w:t>
      </w:r>
    </w:p>
    <w:p>
      <w:pPr>
        <w:numPr>
          <w:ilvl w:val="0"/>
          <w:numId w:val="1002"/>
        </w:numPr>
        <w:pStyle w:val="Compact"/>
      </w:pPr>
      <w:r>
        <w:t xml:space="preserve">Talent Retention:There is a competitive war for talent between traditional banks fintech startups and multinational corporations offering remote work options This forces local firms to innovate their training programs for junior analysts</w:t>
      </w:r>
    </w:p>
    <w:bookmarkEnd w:id="25"/>
    <w:bookmarkStart w:id="26" w:name="opportunities-and-future-outlook"/>
    <w:p>
      <w:pPr>
        <w:pStyle w:val="Heading2"/>
      </w:pPr>
      <w:r>
        <w:t xml:space="preserve">7. Opportunities and Future Outlook</w:t>
      </w:r>
    </w:p>
    <w:p>
      <w:pPr>
        <w:pStyle w:val="FirstParagraph"/>
      </w:pPr>
      <w:r>
        <w:t xml:space="preserve">Despite challenges there are significant opportunities For instance the growing focus on ESG (Environmental Social Governance) investing presents new avenues for</w:t>
      </w:r>
      <w:r>
        <w:t xml:space="preserve"> </w:t>
      </w:r>
      <w:r>
        <w:rPr>
          <w:bCs/>
          <w:b/>
        </w:rPr>
        <w:t xml:space="preserve">Financial Analysts. Companies in</w:t>
      </w:r>
      <w:r>
        <w:rPr>
          <w:bCs/>
          <w:b/>
        </w:rPr>
        <w:t xml:space="preserve"> </w:t>
      </w:r>
      <w:r>
        <w:rPr>
          <w:bCs/>
          <w:b/>
          <w:bCs/>
          <w:b/>
        </w:rPr>
        <w:t xml:space="preserve">Italy Milan</w:t>
      </w:r>
    </w:p>
    <w:bookmarkEnd w:id="26"/>
    <w:bookmarkStart w:id="27" w:name="conclusion"/>
    <w:p>
      <w:pPr>
        <w:pStyle w:val="Heading2"/>
      </w:pPr>
      <w:r>
        <w:t xml:space="preserve">8. Conclusion</w:t>
      </w:r>
    </w:p>
    <w:p>
      <w:pPr>
        <w:pStyle w:val="FirstParagraph"/>
      </w:pPr>
      <w:r>
        <w:t xml:space="preserve">In conclusion the role of the</w:t>
      </w:r>
      <w:r>
        <w:t xml:space="preserve"> </w:t>
      </w:r>
      <w:r>
        <w:rPr>
          <w:bCs/>
          <w:b/>
        </w:rPr>
        <w:t xml:space="preserve">Financial AnalystItaly Milan</w:t>
      </w:r>
    </w:p>
    <w:bookmarkEnd w:id="27"/>
    <w:bookmarkStart w:id="28" w:name="references"/>
    <w:p>
      <w:pPr>
        <w:pStyle w:val="Heading2"/>
      </w:pPr>
      <w:r>
        <w:t xml:space="preserve">9. References</w:t>
      </w:r>
    </w:p>
    <w:p>
      <w:pPr>
        <w:numPr>
          <w:ilvl w:val="0"/>
          <w:numId w:val="1003"/>
        </w:numPr>
        <w:pStyle w:val="Compact"/>
      </w:pPr>
      <w:r>
        <w:t xml:space="preserve">Rossi L. (2019)</w:t>
      </w:r>
    </w:p>
    <w:p>
      <w:pPr>
        <w:numPr>
          <w:ilvl w:val="0"/>
          <w:numId w:val="1000"/>
        </w:numPr>
        <w:pStyle w:val="Compact"/>
      </w:pPr>
      <w:r>
        <w:t xml:space="preserve">The Mediterranean Market : Structural Challenges &amp; Opportunities . Milano Press.</w:t>
      </w:r>
    </w:p>
    <w:p>
      <w:pPr>
        <w:numPr>
          <w:ilvl w:val="0"/>
          <w:numId w:val="1003"/>
        </w:numPr>
        <w:pStyle w:val="Compact"/>
      </w:pPr>
      <w:r>
        <w:t xml:space="preserve">Bianchi E. (20 1).</w:t>
      </w:r>
    </w:p>
    <w:p>
      <w:pPr>
        <w:numPr>
          <w:ilvl w:val="0"/>
          <w:numId w:val="1000"/>
        </w:numPr>
        <w:pStyle w:val="Compact"/>
      </w:pPr>
      <w:r>
        <w:t xml:space="preserve">Digital Transformation in Italian Banking : A Guide for Analysts . Turin Financial Publications.</w:t>
      </w:r>
    </w:p>
    <w:p>
      <w:pPr>
        <w:numPr>
          <w:ilvl w:val="0"/>
          <w:numId w:val="1003"/>
        </w:numPr>
        <w:pStyle w:val="Compact"/>
      </w:pPr>
      <w:r>
        <w:t xml:space="preserve">Ferretti M. (Ed.) (2020)</w:t>
      </w:r>
    </w:p>
    <w:p>
      <w:pPr>
        <w:numPr>
          <w:ilvl w:val="0"/>
          <w:numId w:val="1000"/>
        </w:numPr>
        <w:pStyle w:val="Compact"/>
      </w:pPr>
      <w:r>
        <w:t xml:space="preserve">Regulatory Compliance in the Eurozone: Focus on CONSOB &amp; ESMA Guidelines . European Law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Financial Analyst in Italy Milan</dc:title>
  <dc:creator/>
  <dc:language>en</dc:language>
  <cp:keywords/>
  <dcterms:created xsi:type="dcterms:W3CDTF">2026-07-29T13:44:59Z</dcterms:created>
  <dcterms:modified xsi:type="dcterms:W3CDTF">2026-07-29T13:44:59Z</dcterms:modified>
</cp:coreProperties>
</file>

<file path=docProps/custom.xml><?xml version="1.0" encoding="utf-8"?>
<Properties xmlns="http://schemas.openxmlformats.org/officeDocument/2006/custom-properties" xmlns:vt="http://schemas.openxmlformats.org/officeDocument/2006/docPropsVTypes"/>
</file>