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28" w:name="X2bd123a5eafa582a24337d197cef625e3be29a9"/>
    <w:p>
      <w:pPr>
        <w:pStyle w:val="Heading1"/>
      </w:pPr>
      <w:r>
        <w:t xml:space="preserve">Book Report: Navigating the Financial Landscape</w:t>
      </w:r>
      <w:r>
        <w:br/>
      </w:r>
      <w:r>
        <w:t xml:space="preserve">The Role of the Financial Analyst in Spain Barcelona</w:t>
      </w:r>
    </w:p>
    <w:p>
      <w:pPr>
        <w:pStyle w:val="FirstParagraph"/>
      </w:pPr>
      <w:r>
        <w:rPr>
          <w:bCs/>
          <w:b/>
        </w:rPr>
        <w:t xml:space="preserve">Date:</w:t>
      </w:r>
      <w:r>
        <w:t xml:space="preserve"> </w:t>
      </w:r>
      <w:r>
        <w:t xml:space="preserve">October 26, 2023</w:t>
      </w:r>
      <w:r>
        <w:br/>
      </w:r>
      <w:r>
        <w:rPr>
          <w:bCs/>
          <w:b/>
        </w:rPr>
        <w:t xml:space="preserve">Subject:</w:t>
      </w:r>
      <w:r>
        <w:t xml:space="preserve">Financial Analyst</w:t>
      </w:r>
      <w:r>
        <w:br/>
      </w:r>
    </w:p>
    <w:p>
      <w:pPr>
        <w:pStyle w:val="BodyText"/>
      </w:pPr>
      <w:r>
        <w:t xml:space="preserve">Presentation Location:</w:t>
      </w:r>
      <w:r>
        <w:t xml:space="preserve">Spain Barcelona</w:t>
      </w:r>
      <w:r>
        <w:br/>
      </w:r>
    </w:p>
    <w:p>
      <w:pPr>
        <w:pStyle w:val="BodyText"/>
      </w:pPr>
      <w:r>
        <w:t xml:space="preserve">Distribution Category: Internal Strategic Review &amp; Professional Development Reading List</w:t>
      </w:r>
    </w:p>
    <w:bookmarkStart w:id="20" w:name="executive-summary-and-introduction"/>
    <w:p>
      <w:pPr>
        <w:pStyle w:val="Heading2"/>
      </w:pPr>
      <w:r>
        <w:t xml:space="preserve">1. Executive Summary and Introduction</w:t>
      </w:r>
    </w:p>
    <w:p>
      <w:pPr>
        <w:pStyle w:val="FirstParagraph"/>
      </w:pPr>
      <w:r>
        <w:t xml:space="preserve">In the contemporary global economic ecosystem, few roles are as pivotal or as dynamic as that of the</w:t>
      </w:r>
      <w:r>
        <w:t xml:space="preserve">Financial Analyst</w:t>
      </w:r>
      <w:r>
        <w:t xml:space="preserve">. This book report serves to synthesize key insights from a curated selection of financial literature, with a specific lens focused on the unique economic environment of</w:t>
      </w:r>
      <w:r>
        <w:t xml:space="preserve"> </w:t>
      </w:r>
      <w:r>
        <w:rPr>
          <w:bCs/>
          <w:b/>
        </w:rPr>
        <w:t xml:space="preserve">Spain Barcelona</w:t>
      </w:r>
      <w:r>
        <w:t xml:space="preserve">. While many texts offer generalized advice on market analysis and corporate finance, this document emphasizes how these principles apply specifically within the Mediterranean context. The city of</w:t>
      </w:r>
      <w:r>
        <w:t xml:space="preserve"> </w:t>
      </w:r>
      <w:r>
        <w:rPr>
          <w:bCs/>
          <w:b/>
        </w:rPr>
        <w:t xml:space="preserve">Spain Barcelona</w:t>
      </w:r>
      <w:r>
        <w:t xml:space="preserve">, as one of Europe’s most vibrant economic hubs, presents a distinct set of challenges and opportunities for financial professionals. From tourism-driven revenue streams to a robust startup ecosystem in Poblenou, the role extends beyond mere number-crunching; it requires cultural intelligence, regulatory awareness specific to the Eurozone and Spanish labor laws, and strategic foresight.</w:t>
      </w:r>
    </w:p>
    <w:p>
      <w:pPr>
        <w:pStyle w:val="BodyText"/>
      </w:pPr>
      <w:r>
        <w:t xml:space="preserve">This report is designed not only as an academic exercise but as a practical guide for professionals currently operating or aspiring to work in</w:t>
      </w:r>
      <w:r>
        <w:t xml:space="preserve"> </w:t>
      </w:r>
      <w:r>
        <w:rPr>
          <w:bCs/>
          <w:b/>
        </w:rPr>
        <w:t xml:space="preserve">Spain Barcelona</w:t>
      </w:r>
      <w:r>
        <w:t xml:space="preserve">. It bridges the gap between theoretical financial modeling and the pragmatic realities of doing business in Catalonia’s capital.</w:t>
      </w:r>
    </w:p>
    <w:bookmarkEnd w:id="20"/>
    <w:bookmarkStart w:id="24" w:name="core-themes-and-analysis"/>
    <w:p>
      <w:pPr>
        <w:pStyle w:val="Heading2"/>
      </w:pPr>
      <w:r>
        <w:t xml:space="preserve">2. Core Themes and Analysis</w:t>
      </w:r>
    </w:p>
    <w:bookmarkStart w:id="21" w:name="X125c9a48da350b9650f7e3849e67c7c4462315f"/>
    <w:p>
      <w:pPr>
        <w:pStyle w:val="Heading3"/>
      </w:pPr>
      <w:r>
        <w:t xml:space="preserve">The Evolving Definition of the Modern Financial Analyst</w:t>
      </w:r>
    </w:p>
    <w:p>
      <w:pPr>
        <w:pStyle w:val="FirstParagraph"/>
      </w:pPr>
      <w:r>
        <w:t xml:space="preserve">A primary theme across modern financial literature is the shift from retrospective reporting to predictive strategic advising. The traditional</w:t>
      </w:r>
      <w:r>
        <w:t xml:space="preserve">Financial Analyst</w:t>
      </w:r>
      <w:r>
        <w:t xml:space="preserve">, often confined to spreadsheets and quarterly reports, is now expected to be a business partner who influences decision-making at the board level. In the context of</w:t>
      </w:r>
      <w:r>
        <w:t xml:space="preserve"> </w:t>
      </w:r>
      <w:r>
        <w:rPr>
          <w:bCs/>
          <w:b/>
        </w:rPr>
        <w:t xml:space="preserve">Spain Barcelona</w:t>
      </w:r>
      <w:r>
        <w:t xml:space="preserve">, this evolution is accelerated by digital transformation initiatives funded by both local municipal grants and EU recovery plans. The modern analyst must understand not just GAAP (Generally Accepted Accounting Principles) or IFRS (International Financial Reporting Standards), but also how local tax incentives in Spain affect cash flow projections.</w:t>
      </w:r>
    </w:p>
    <w:bookmarkEnd w:id="21"/>
    <w:bookmarkStart w:id="22" w:name="Xa281d6d121eb43f5a6d6bbc2cc835b0cb457fa6"/>
    <w:p>
      <w:pPr>
        <w:pStyle w:val="Heading3"/>
      </w:pPr>
      <w:r>
        <w:t xml:space="preserve">Navigating the Spanish Regulatory Framework</w:t>
      </w:r>
    </w:p>
    <w:p>
      <w:pPr>
        <w:pStyle w:val="FirstParagraph"/>
      </w:pPr>
      <w:r>
        <w:t xml:space="preserve">A significant portion of effective financial analysis in this region depends on a deep understanding of local compliance. The literature highlights that while</w:t>
      </w:r>
      <w:r>
        <w:t xml:space="preserve">Financial Analysts</w:t>
      </w:r>
      <w:r>
        <w:t xml:space="preserve"> </w:t>
      </w:r>
      <w:r>
        <w:t xml:space="preserve">globally adhere to international standards, their success in</w:t>
      </w:r>
      <w:r>
        <w:t xml:space="preserve"> </w:t>
      </w:r>
      <w:r>
        <w:rPr>
          <w:bCs/>
          <w:b/>
        </w:rPr>
        <w:t xml:space="preserve">Spain Barcelona</w:t>
      </w:r>
      <w:r>
        <w:t xml:space="preserve"> </w:t>
      </w:r>
      <w:r>
        <w:t xml:space="preserve">is contingent upon mastering the *Plan General Contable* (Spanish General Accounting Plan). This report underscores that an analyst who ignores local fiscal nuances—such as differences in VAT applications for cultural events versus standard goods—will produce flawed forecasts. The unique legal structure of Catalan enterprises, combined with national Spanish labor laws regarding hiring and severance, adds a layer of complexity that generic financial textbooks often overlook.</w:t>
      </w:r>
    </w:p>
    <w:bookmarkEnd w:id="22"/>
    <w:bookmarkStart w:id="23" w:name="X591d483042c30b168476b7ed884b74a51d3aa23"/>
    <w:p>
      <w:pPr>
        <w:pStyle w:val="Heading3"/>
      </w:pPr>
      <w:r>
        <w:t xml:space="preserve">The Impact of Tourism and Sustainability on Financial Modeling</w:t>
      </w:r>
    </w:p>
    <w:p>
      <w:pPr>
        <w:pStyle w:val="FirstParagraph"/>
      </w:pPr>
      <w:r>
        <w:rPr>
          <w:bCs/>
          <w:b/>
        </w:rPr>
        <w:t xml:space="preserve">Spain Barcelona</w:t>
      </w:r>
      <w:r>
        <w:t xml:space="preserve"> </w:t>
      </w:r>
      <w:r>
        <w:t xml:space="preserve">is globally renowned as a tourist destination. Consequently, financial models for many local entities are heavily influenced by seasonal fluctuations. The reviewed texts argue that the</w:t>
      </w:r>
      <w:r>
        <w:t xml:space="preserve">Financial Analyst</w:t>
      </w:r>
      <w:r>
        <w:t xml:space="preserve"> </w:t>
      </w:r>
      <w:r>
        <w:t xml:space="preserve">must incorporate climate risk and sustainability metrics into their valuation models. With</w:t>
      </w:r>
      <w:r>
        <w:t xml:space="preserve"> </w:t>
      </w:r>
      <w:r>
        <w:rPr>
          <w:bCs/>
          <w:b/>
        </w:rPr>
        <w:t xml:space="preserve">Spain Barcelona</w:t>
      </w:r>
      <w:r>
        <w:t xml:space="preserve"> </w:t>
      </w:r>
      <w:r>
        <w:t xml:space="preserve">pushing aggressively towards becoming a "smart city" with strict environmental regulations, assets tied to high-carbon activities face higher risks of obsolescence or regulation. Therefore, analysts are increasingly tasked with evaluating ESG (Environmental, Social, and Governance) criteria not as optional add-ons, but as core components of risk assessment.</w:t>
      </w:r>
    </w:p>
    <w:bookmarkEnd w:id="23"/>
    <w:bookmarkEnd w:id="24"/>
    <w:bookmarkStart w:id="25" w:name="specific-application-to-spain-barcelona"/>
    <w:p>
      <w:pPr>
        <w:pStyle w:val="Heading2"/>
      </w:pPr>
      <w:r>
        <w:t xml:space="preserve">3. Specific Application to Spain Barcelona</w:t>
      </w:r>
    </w:p>
    <w:p>
      <w:pPr>
        <w:pStyle w:val="FirstParagraph"/>
      </w:pPr>
      <w:r>
        <w:t xml:space="preserve">The geographic specificity of this report cannot be overstated. The economic fabric of</w:t>
      </w:r>
      <w:r>
        <w:t xml:space="preserve"> </w:t>
      </w:r>
      <w:r>
        <w:rPr>
          <w:bCs/>
          <w:b/>
        </w:rPr>
        <w:t xml:space="preserve">Spain Barcelona</w:t>
      </w:r>
      <w:r>
        <w:t xml:space="preserve"> </w:t>
      </w:r>
      <w:r>
        <w:t xml:space="preserve">is woven with threads of international trade, tech innovation, and service-oriented industries. A</w:t>
      </w:r>
      <w:r>
        <w:t xml:space="preserve">Financial Analyst</w:t>
      </w:r>
      <w:r>
        <w:t xml:space="preserve"> </w:t>
      </w:r>
      <w:r>
        <w:t xml:space="preserve">operating here must understand the interplay between these sectors.</w:t>
      </w:r>
    </w:p>
    <w:p>
      <w:pPr>
        <w:numPr>
          <w:ilvl w:val="0"/>
          <w:numId w:val="1001"/>
        </w:numPr>
        <w:pStyle w:val="Compact"/>
      </w:pPr>
      <w:r>
        <w:rPr>
          <w:bCs/>
          <w:b/>
        </w:rPr>
        <w:t xml:space="preserve">The Tech Hub Factor:</w:t>
      </w:r>
      <w:r>
        <w:t xml:space="preserve">Spain Barcelona</w:t>
      </w:r>
      <w:r>
        <w:t xml:space="preserve"> </w:t>
      </w:r>
      <w:r>
        <w:t xml:space="preserve">has emerged as a leading tech hub in Southern Europe. Financial analysts supporting fintech or SaaS companies in this region face different valuation challenges than those in traditional manufacturing hubs. High burn rates, rapid scaling, and intangible asset valuation are paramount.</w:t>
      </w:r>
    </w:p>
    <w:p>
      <w:pPr>
        <w:numPr>
          <w:ilvl w:val="0"/>
          <w:numId w:val="1001"/>
        </w:numPr>
        <w:pStyle w:val="Compact"/>
      </w:pPr>
      <w:r>
        <w:rPr>
          <w:bCs/>
          <w:b/>
        </w:rPr>
        <w:t xml:space="preserve">Cultural Nuances in Stakeholder Management:</w:t>
      </w:r>
      <w:r>
        <w:t xml:space="preserve"> </w:t>
      </w:r>
      <w:r>
        <w:t xml:space="preserve">The literature suggests that financial communication styles vary by culture. In</w:t>
      </w:r>
      <w:r>
        <w:t xml:space="preserve"> </w:t>
      </w:r>
      <w:r>
        <w:rPr>
          <w:bCs/>
          <w:b/>
        </w:rPr>
        <w:t xml:space="preserve">Spain Barcelona</w:t>
      </w:r>
      <w:r>
        <w:t xml:space="preserve">, relationships often precede transactions. A</w:t>
      </w:r>
      <w:r>
        <w:t xml:space="preserve">Financial Analyst</w:t>
      </w:r>
      <w:r>
        <w:t xml:space="preserve"> </w:t>
      </w:r>
      <w:r>
        <w:t xml:space="preserve">must present data in a way that respects local business etiquette, where trust and personal rapport are as valuable as the EBITDA figures themselves.</w:t>
      </w:r>
    </w:p>
    <w:p>
      <w:pPr>
        <w:numPr>
          <w:ilvl w:val="0"/>
          <w:numId w:val="1001"/>
        </w:numPr>
        <w:pStyle w:val="Compact"/>
      </w:pPr>
      <w:r>
        <w:rPr>
          <w:bCs/>
          <w:b/>
        </w:rPr>
        <w:t xml:space="preserve">Labor Market Dynamics:</w:t>
      </w:r>
      <w:r>
        <w:t xml:space="preserve"> </w:t>
      </w:r>
      <w:r>
        <w:t xml:space="preserve">Understanding the cost structures related to employment in Spain is critical. With specific collective bargaining agreements (*convenios colectivos*) prevalent in various industries within Catalonia, analysts must accurately project payroll liabilities, which differ significantly from other Eurozone countries like Germany or France.</w:t>
      </w:r>
    </w:p>
    <w:bookmarkEnd w:id="25"/>
    <w:bookmarkStart w:id="26" w:name="key-takeaways-for-professionals"/>
    <w:p>
      <w:pPr>
        <w:pStyle w:val="Heading2"/>
      </w:pPr>
      <w:r>
        <w:t xml:space="preserve">4. Key Takeaways for Professionals</w:t>
      </w:r>
    </w:p>
    <w:p>
      <w:pPr>
        <w:pStyle w:val="FirstParagraph"/>
      </w:pPr>
      <w:r>
        <w:t xml:space="preserve">For those studying or working as a</w:t>
      </w:r>
      <w:r>
        <w:t xml:space="preserve">Financial Analyst</w:t>
      </w:r>
      <w:r>
        <w:t xml:space="preserve">, the following conclusions are drawn from this review:</w:t>
      </w:r>
    </w:p>
    <w:p>
      <w:pPr>
        <w:numPr>
          <w:ilvl w:val="0"/>
          <w:numId w:val="1002"/>
        </w:numPr>
        <w:pStyle w:val="Compact"/>
      </w:pPr>
      <w:r>
        <w:rPr>
          <w:bCs/>
          <w:b/>
        </w:rPr>
        <w:t xml:space="preserve">Data is King, but Context is Queen:</w:t>
      </w:r>
      <w:r>
        <w:t xml:space="preserve"> </w:t>
      </w:r>
      <w:r>
        <w:t xml:space="preserve">Technical proficiency in Excel and financial modeling software is baseline. However, the ability to contextualize data within the economic reality of</w:t>
      </w:r>
      <w:r>
        <w:t xml:space="preserve">Spain Barcelona</w:t>
      </w:r>
      <w:r>
        <w:t xml:space="preserve"> </w:t>
      </w:r>
      <w:r>
        <w:t xml:space="preserve">distinguishes a good analyst from a great one.</w:t>
      </w:r>
    </w:p>
    <w:p>
      <w:pPr>
        <w:numPr>
          <w:ilvl w:val="0"/>
          <w:numId w:val="1002"/>
        </w:numPr>
        <w:pStyle w:val="Compact"/>
      </w:pPr>
      <w:r>
        <w:rPr>
          <w:bCs/>
          <w:b/>
          <w:iCs/>
          <w:i/>
        </w:rPr>
        <w:t xml:space="preserve">Sustainability is Financially Material:</w:t>
      </w:r>
      <w:r>
        <w:t xml:space="preserve"> </w:t>
      </w:r>
      <w:r>
        <w:t xml:space="preserve">Ignoring ESG factors in investment analysis for companies based in</w:t>
      </w:r>
      <w:r>
        <w:t xml:space="preserve"> </w:t>
      </w:r>
      <w:r>
        <w:rPr>
          <w:bCs/>
          <w:b/>
        </w:rPr>
        <w:t xml:space="preserve">Spain Barcelona</w:t>
      </w:r>
      <w:r>
        <w:t xml:space="preserve"> </w:t>
      </w:r>
      <w:r>
        <w:t xml:space="preserve">is no longer a viable strategy. Regulatory pressure and consumer demand are driving capital away from unsustainable practices.</w:t>
      </w:r>
    </w:p>
    <w:p>
      <w:pPr>
        <w:numPr>
          <w:ilvl w:val="0"/>
          <w:numId w:val="1002"/>
        </w:numPr>
        <w:pStyle w:val="Compact"/>
      </w:pPr>
      <w:r>
        <w:rPr>
          <w:bCs/>
          <w:b/>
        </w:rPr>
        <w:t xml:space="preserve">Lifelong Learning:</w:t>
      </w:r>
      <w:r>
        <w:t xml:space="preserve">The regulatory landscape in Spain is subject to change due to both local Catalan policies and national Spanish legislation, as well as overarching EU directives. A</w:t>
      </w:r>
      <w:r>
        <w:t xml:space="preserve">Financial Analyst</w:t>
      </w:r>
      <w:r>
        <w:t xml:space="preserve"> </w:t>
      </w:r>
      <w:r>
        <w:t xml:space="preserve">must commit to continuous education regarding tax law updates and labor reform.</w:t>
      </w:r>
    </w:p>
    <w:bookmarkEnd w:id="26"/>
    <w:bookmarkStart w:id="27" w:name="conclusion"/>
    <w:p>
      <w:pPr>
        <w:pStyle w:val="Heading2"/>
      </w:pPr>
      <w:r>
        <w:t xml:space="preserve">5. Conclusion</w:t>
      </w:r>
    </w:p>
    <w:p>
      <w:pPr>
        <w:pStyle w:val="FirstParagraph"/>
      </w:pPr>
      <w:r>
        <w:t xml:space="preserve">The role of the</w:t>
      </w:r>
      <w:r>
        <w:t xml:space="preserve">Financial Analyst</w:t>
      </w:r>
      <w:r>
        <w:t xml:space="preserve"> </w:t>
      </w:r>
      <w:r>
        <w:t xml:space="preserve">is undergoing a profound transformation, and this change is vividly illustrated in the dynamic economic landscape of</w:t>
      </w:r>
      <w:r>
        <w:rPr>
          <w:bCs/>
          <w:b/>
        </w:rPr>
        <w:t xml:space="preserve">Spain Barcelona</w:t>
      </w:r>
      <w:r>
        <w:t xml:space="preserve">. This book report has highlighted that success in this field requires more than just numerical acuity; it demands a holistic understanding of local regulations, cultural business practices, and sector-specific dynamics such as tourism and technology.</w:t>
      </w:r>
    </w:p>
    <w:p>
      <w:pPr>
        <w:pStyle w:val="BodyText"/>
      </w:pPr>
      <w:r>
        <w:t xml:space="preserve">As</w:t>
      </w:r>
      <w:r>
        <w:t xml:space="preserve"> </w:t>
      </w:r>
      <w:r>
        <w:rPr>
          <w:bCs/>
          <w:b/>
        </w:rPr>
        <w:t xml:space="preserve">Spain Barcelona</w:t>
      </w:r>
      <w:r>
        <w:t xml:space="preserve"> </w:t>
      </w:r>
      <w:r>
        <w:t xml:space="preserve">continues to assert its position as a key player in the European economy, the demand for sophisticated financial insight grows. Professionals who can blend rigorous financial analysis with an acute awareness of their local environment will be best positioned to add value. This document serves as a foundational reference, reminding us that while numbers are universal, their interpretation is deeply rooted in place and culture. For any</w:t>
      </w:r>
      <w:r>
        <w:t xml:space="preserve">Financial Analyst</w:t>
      </w:r>
      <w:r>
        <w:t xml:space="preserve"> </w:t>
      </w:r>
      <w:r>
        <w:t xml:space="preserve">aiming to excel in</w:t>
      </w:r>
      <w:r>
        <w:t xml:space="preserve"> </w:t>
      </w:r>
      <w:r>
        <w:rPr>
          <w:bCs/>
          <w:b/>
        </w:rPr>
        <w:t xml:space="preserve">Spain Barcelona</w:t>
      </w:r>
      <w:r>
        <w:t xml:space="preserve">, mastering these local nuances is not just an advantage—it is a necessity.</w:t>
      </w:r>
    </w:p>
    <w:p>
      <w:r>
        <w:pict>
          <v:rect style="width:0;height:1.5pt" o:hralign="center" o:hrstd="t" o:hr="t"/>
        </w:pict>
      </w:r>
    </w:p>
    <w:p>
      <w:pPr>
        <w:pStyle w:val="FirstParagraph"/>
      </w:pPr>
      <w:r>
        <w:rPr>
          <w:iCs/>
          <w:i/>
        </w:rPr>
        <w:t xml:space="preserve">Note: This report was compiled for educational and professional development purposes within the context of the financial sector in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Financial Analyst in Spain Barcelona</dc:title>
  <dc:creator/>
  <dc:language>en</dc:language>
  <cp:keywords/>
  <dcterms:created xsi:type="dcterms:W3CDTF">2026-07-29T16:58:28Z</dcterms:created>
  <dcterms:modified xsi:type="dcterms:W3CDTF">2026-07-29T16:58:28Z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