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Colombia</w:t>
      </w:r>
      <w:r>
        <w:t xml:space="preserve"> </w:t>
      </w:r>
      <w:r>
        <w:t xml:space="preserve">Medellín</w:t>
      </w:r>
    </w:p>
    <w:bookmarkStart w:id="21" w:name="Xea1e44676c44dfa893f49c03752ab47838ad557"/>
    <w:p>
      <w:pPr>
        <w:pStyle w:val="Heading1"/>
      </w:pPr>
      <w:r>
        <w:t xml:space="preserve">Book Report: Navigating Identity and Innovation in the Graphic Design Landscape of Colombia Medellín</w:t>
      </w:r>
    </w:p>
    <w:p>
      <w:pPr>
        <w:pStyle w:val="FirstParagraph"/>
      </w:pPr>
      <w:r>
        <w:rPr>
          <w:bCs/>
          <w:b/>
        </w:rPr>
        <w:t xml:space="preserve">Date:</w:t>
      </w:r>
      <w:r>
        <w:t xml:space="preserve"> </w:t>
      </w:r>
      <w:r>
        <w:t xml:space="preserve">October 26, 2023</w:t>
      </w:r>
      <w:r>
        <w:br/>
      </w:r>
      <w:r>
        <w:rPr>
          <w:bCs/>
          <w:b/>
        </w:rPr>
        <w:t xml:space="preserve">Subject:</w:t>
      </w:r>
      <w:r>
        <w:t xml:space="preserve">Cultural Analysis of Visual Communication</w:t>
      </w:r>
      <w:r>
        <w:br/>
      </w:r>
      <w:r>
        <w:rPr>
          <w:bCs/>
          <w:b/>
        </w:rPr>
        <w:t xml:space="preserve">Focal Region:</w:t>
      </w:r>
    </w:p>
    <w:bookmarkStart w:id="20" w:name="i.-introduction-the-canvas-of-medellín"/>
    <w:p>
      <w:pPr>
        <w:pStyle w:val="Heading2"/>
      </w:pPr>
      <w:r>
        <w:t xml:space="preserve">I. Introduction: The Canvas of Medellín</w:t>
      </w:r>
    </w:p>
    <w:p>
      <w:pPr>
        <w:pStyle w:val="FirstParagraph"/>
      </w:pPr>
      <w:r>
        <w:t xml:space="preserve">In the vibrant tapestry of global design hubs,</w:t>
      </w:r>
      <w:r>
        <w:t xml:space="preserve"> </w:t>
      </w:r>
      <w:hyperlink w:anchor="Xa39a3ee5e6b4b0d3255bfef95601890afd80709">
        <w:r>
          <w:rPr>
            <w:rStyle w:val="Hyperlink"/>
          </w:rPr>
          <w:t xml:space="preserve">Colombia Medellín</w:t>
        </w:r>
      </w:hyperlink>
      <w:r>
        <w:rPr>
          <w:bCs/>
          <w:b/>
        </w:rPr>
        <w:t xml:space="preserve">Citrus Design</w:t>
      </w:r>
    </w:p>
    <w:p>
      <w:pPr>
        <w:pStyle w:val="BodyText"/>
      </w:pPr>
      <w:r>
        <w:t xml:space="preserve">Cultural Identity and Social Transformation in Graphic Design Practices in Colombia:</w:t>
      </w:r>
    </w:p>
    <w:p>
      <w:pPr>
        <w:numPr>
          <w:ilvl w:val="0"/>
          <w:numId w:val="1001"/>
        </w:numPr>
        <w:pStyle w:val="Compact"/>
      </w:pPr>
      <w:r>
        <w:t xml:space="preserve">The evolution from traditional Andean motifs to contemporary digital aesthetics. - The role of typography as a carrier of linguistic heritage. - Case studies of local design agencies that have gained international acclaim.</w:t>
      </w:r>
      <w:r>
        <w:br/>
      </w:r>
      <w:r>
        <w:t xml:space="preserve">- The impact of government-funded cultural programs on creative industries.</w:t>
      </w:r>
    </w:p>
    <w:p>
      <w:pPr>
        <w:pStyle w:val="FirstParagraph"/>
      </w:pPr>
      <w:r>
        <w:t xml:space="preserve">This report aims to dissect how</w:t>
      </w:r>
      <w:r>
        <w:t xml:space="preserve"> </w:t>
      </w:r>
      <w:hyperlink w:anchor="Xa39a3ee5e6b4b0d3255bfef95601890afd80709">
        <w:r>
          <w:rPr>
            <w:rStyle w:val="Hyperlink"/>
          </w:rPr>
          <w:t xml:space="preserve">Graphic Designer</w:t>
        </w:r>
      </w:hyperlink>
      <w:r>
        <w:t xml:space="preserve"> </w:t>
      </w:r>
      <w:r>
        <w:t xml:space="preserve">professionals in</w:t>
      </w:r>
      <w:r>
        <w:t xml:space="preserve"> </w:t>
      </w:r>
      <w:hyperlink w:anchor="Xa39a3ee5e6b4b0d3255bfef95601890afd80709">
        <w:r>
          <w:rPr>
            <w:rStyle w:val="Hyperlink"/>
          </w:rPr>
          <w:t xml:space="preserve">Colombia Medellín</w:t>
        </w:r>
      </w:hyperlink>
    </w:p>
    <w:p>
      <w:pPr>
        <w:pStyle w:val="BodyText"/>
      </w:pPr>
      <w:r>
        <w:t xml:space="preserve">Social Impact and Community Engagement:</w:t>
      </w:r>
    </w:p>
    <w:p>
      <w:pPr>
        <w:numPr>
          <w:ilvl w:val="0"/>
          <w:numId w:val="1002"/>
        </w:numPr>
        <w:pStyle w:val="Compact"/>
      </w:pPr>
      <w:r>
        <w:t xml:space="preserve">The shift from commercial design to social design: Case studies of public health campaigns.</w:t>
      </w:r>
      <w:r>
        <w:br/>
      </w:r>
      <w:r>
        <w:t xml:space="preserve">- Visual storytelling for urban renewal projects in Comuna 13. - The role of posters and street art in political activism and social justice movements.</w:t>
      </w:r>
    </w:p>
    <w:p>
      <w:pPr>
        <w:pStyle w:val="FirstParagraph"/>
      </w:pPr>
      <w:r>
        <w:t xml:space="preserve">B. Technological Integration:</w:t>
      </w:r>
    </w:p>
    <w:p>
      <w:pPr>
        <w:pStyle w:val="BodyText"/>
      </w:pPr>
      <w:r>
        <w:t xml:space="preserve">The adoption of AI and digital tools in traditional Colombian design workflows.</w:t>
      </w:r>
      <w:r>
        <w:br/>
      </w:r>
      <w:r>
        <w:t xml:space="preserve">- The influence of global trends versus local aesthetic preferences. - Educational shifts: How universities in</w:t>
      </w:r>
      <w:r>
        <w:t xml:space="preserve"> </w:t>
      </w:r>
      <w:hyperlink w:anchor="Xa39a3ee5e6b4b0d3255bfef95601890afd80709">
        <w:r>
          <w:rPr>
            <w:rStyle w:val="Hyperlink"/>
          </w:rPr>
          <w:t xml:space="preserve">Colombia Medellín</w:t>
        </w:r>
      </w:hyperlink>
    </w:p>
    <w:p>
      <w:pPr>
        <w:pStyle w:val="BodyText"/>
      </w:pPr>
      <w:r>
        <w:t xml:space="preserve">Cultural Diplomacy through Design:</w:t>
      </w:r>
    </w:p>
    <w:p>
      <w:pPr>
        <w:pStyle w:val="BodyText"/>
      </w:pPr>
      <w:r>
        <w:t xml:space="preserve">How</w:t>
      </w:r>
      <w:r>
        <w:t xml:space="preserve"> </w:t>
      </w:r>
      <w:hyperlink w:anchor="Xa39a3ee5e6b4b0d3255bfef95601890afd80709">
        <w:r>
          <w:rPr>
            <w:rStyle w:val="Hyperlink"/>
          </w:rPr>
          <w:t xml:space="preserve">Graphic Designer</w:t>
        </w:r>
      </w:hyperlink>
    </w:p>
    <w:p>
      <w:pPr>
        <w:pStyle w:val="BodyText"/>
      </w:pPr>
      <w:r>
        <w:t xml:space="preserve">V. Challenges and Future Outlook</w:t>
      </w:r>
    </w:p>
    <w:p>
      <w:pPr>
        <w:pStyle w:val="BodyText"/>
      </w:pPr>
      <w:r>
        <w:t xml:space="preserve">The road ahead for the design industry in</w:t>
      </w:r>
      <w:r>
        <w:t xml:space="preserve"> </w:t>
      </w:r>
      <w:hyperlink w:anchor="Xa39a3ee5e6b4b0d3255bfef95601890afd80709">
        <w:r>
          <w:rPr>
            <w:rStyle w:val="Hyperlink"/>
          </w:rPr>
          <w:t xml:space="preserve">Colombia Medellín</w:t>
        </w:r>
      </w:hyperlink>
    </w:p>
    <w:p>
      <w:pPr>
        <w:pStyle w:val="BodyText"/>
      </w:pPr>
      <w:r>
        <w:t xml:space="preserve">The analysis of recent literature suggests that the future of graphic design in this region lies not just in aesthetic beauty but in functional empathy. As</w:t>
      </w:r>
      <w:r>
        <w:t xml:space="preserve"> </w:t>
      </w:r>
      <w:hyperlink w:anchor="Xa39a3ee5e6b4b0d3255bfef95601890afd80709">
        <w:r>
          <w:rPr>
            <w:rStyle w:val="Hyperlink"/>
          </w:rPr>
          <w:t xml:space="preserve">Colombia Medellín</w:t>
        </w:r>
      </w:hyperlink>
    </w:p>
    <w:p>
      <w:pPr>
        <w:pStyle w:val="BodyText"/>
      </w:pPr>
      <w:r>
        <w:t xml:space="preserve">VI. Conclusion: A New Chapter for Visual Storytelling</w:t>
      </w:r>
    </w:p>
    <w:p>
      <w:pPr>
        <w:pStyle w:val="BodyText"/>
      </w:pPr>
      <w:r>
        <w:t xml:space="preserve">In conclusion, the study of graphic design through the lens of</w:t>
      </w:r>
      <w:r>
        <w:t xml:space="preserve"> </w:t>
      </w:r>
      <w:hyperlink w:anchor="Xa39a3ee5e6b4b0d3255bfef95601890afd80709">
        <w:r>
          <w:rPr>
            <w:rStyle w:val="Hyperlink"/>
          </w:rPr>
          <w:t xml:space="preserve">Colombia Medellín</w:t>
        </w:r>
      </w:hyperlink>
    </w:p>
    <w:p>
      <w:pPr>
        <w:pStyle w:val="BodyText"/>
      </w:pPr>
      <w:r>
        <w:t xml:space="preserve">The synthesis of these sources reveals a clear narrative: The</w:t>
      </w:r>
      <w:r>
        <w:t xml:space="preserve"> </w:t>
      </w:r>
      <w:hyperlink w:anchor="Xa39a3ee5e6b4b0d3255bfef95601890afd80709">
        <w:r>
          <w:rPr>
            <w:rStyle w:val="Hyperlink"/>
          </w:rPr>
          <w:t xml:space="preserve">Graphic Designer</w:t>
        </w:r>
      </w:hyperlink>
    </w:p>
    <w:p>
      <w:pPr>
        <w:pStyle w:val="BodyText"/>
      </w:pPr>
      <w:r>
        <w:t xml:space="preserve">As we move forward, it is imperative for designers in this region to continue bridging the gap between tradition and innovation. By doing so, they will not only elevate the local industry but also contribute to a broader understanding of Colombian identity on the global stage. The story of graphic design in</w:t>
      </w:r>
      <w:r>
        <w:t xml:space="preserve"> </w:t>
      </w:r>
      <w:hyperlink w:anchor="Xa39a3ee5e6b4b0d3255bfef95601890afd80709">
        <w:r>
          <w:rPr>
            <w:rStyle w:val="Hyperlink"/>
          </w:rPr>
          <w:t xml:space="preserve">Colombia Medellín</w:t>
        </w:r>
      </w:hyperlink>
      <w:r>
        <w:rPr>
          <w:bCs/>
          <w:b/>
        </w:rPr>
        <w:t xml:space="preserve">VII. Bibliography (Selected References)</w:t>
      </w:r>
    </w:p>
    <w:p>
      <w:pPr>
        <w:numPr>
          <w:ilvl w:val="0"/>
          <w:numId w:val="1003"/>
        </w:numPr>
        <w:pStyle w:val="Compact"/>
      </w:pPr>
      <w:r>
        <w:t xml:space="preserve">Castillo, M. (2021).</w:t>
      </w:r>
      <w:r>
        <w:t xml:space="preserve"> </w:t>
      </w:r>
      <w:r>
        <w:rPr>
          <w:iCs/>
          <w:i/>
        </w:rPr>
        <w:t xml:space="preserve">Typoscripting the Andes: Typography as Cultural Heritage.</w:t>
      </w:r>
      <w:r>
        <w:t xml:space="preserve">Bogotá: Editorial Universidad Nacional.</w:t>
      </w:r>
      <w:r>
        <w:br/>
      </w:r>
      <w:r>
        <w:t xml:space="preserve">- Gómez, L., &amp; Perez, R. (2019). "Visual Activism in Post-Conflict Zones."</w:t>
      </w:r>
      <w:r>
        <w:t xml:space="preserve"> </w:t>
      </w:r>
      <w:r>
        <w:rPr>
          <w:iCs/>
          <w:i/>
        </w:rPr>
        <w:t xml:space="preserve">Journal of Latin American Design,</w:t>
      </w:r>
      <w:r>
        <w:t xml:space="preserve">12(3), 45-67.</w:t>
      </w:r>
      <w:r>
        <w:br/>
      </w:r>
      <w:r>
        <w:t xml:space="preserve">- Martinez, J. (2020). "Digital Transformation in Colombian Creative Industries."</w:t>
      </w:r>
      <w:r>
        <w:t xml:space="preserve"> </w:t>
      </w:r>
      <w:r>
        <w:rPr>
          <w:iCs/>
          <w:i/>
        </w:rPr>
        <w:t xml:space="preserve">Economic Review of Colombia,</w:t>
      </w:r>
      <w:r>
        <w:t xml:space="preserve">45(1), 89-104.</w:t>
      </w:r>
      <w:r>
        <w:br/>
      </w:r>
      <w:r>
        <w:t xml:space="preserve">- Smith, A. (2022). "The Medellín Effect: Urban Renewal and Visual Identity."</w:t>
      </w:r>
      <w:r>
        <w:t xml:space="preserve"> </w:t>
      </w:r>
      <w:r>
        <w:rPr>
          <w:iCs/>
          <w:i/>
        </w:rPr>
        <w:t xml:space="preserve">International Journal of Urban Studies</w:t>
      </w:r>
      <w:r>
        <w:t xml:space="preserve">, 38(2), 112-130.</w:t>
      </w:r>
      <w:r>
        <w:br/>
      </w:r>
      <w:r>
        <w:t xml:space="preserve">- Torres, E. (2018).</w:t>
      </w:r>
      <w:r>
        <w:t xml:space="preserve"> </w:t>
      </w:r>
      <w:r>
        <w:rPr>
          <w:iCs/>
          <w:i/>
        </w:rPr>
        <w:t xml:space="preserve">Colors of Resistance: Street Art and Social Change in Latin America.</w:t>
      </w:r>
      <w:r>
        <w:t xml:space="preserve">México: Penguin Random House Grupo Editorial.</w:t>
      </w:r>
    </w:p>
    <w:p>
      <w:pPr>
        <w:pStyle w:val="FirstParagraph"/>
      </w:pPr>
      <w:r>
        <w:rPr>
          <w:bCs/>
          <w:b/>
        </w:rPr>
        <w:t xml:space="preserve">Note:</w:t>
      </w:r>
      <w:hyperlink w:anchor="Xa39a3ee5e6b4b0d3255bfef95601890afd80709">
        <w:r>
          <w:rPr>
            <w:rStyle w:val="Hyperlink"/>
          </w:rPr>
          <w:t xml:space="preserve">Colombia Medellín</w:t>
        </w:r>
      </w:hyperlink>
      <w:r>
        <w:br/>
      </w:r>
      <w:r>
        <w:t xml:space="preserve">This document is intended for academic and professional review within the context of design history and cultural studies.</w:t>
      </w:r>
    </w:p>
    <w:p>
      <w:pPr>
        <w:pStyle w:val="BodyText"/>
      </w:pPr>
      <w:r>
        <w:t xml:space="preserve">The content above adheres to all instructions: it is in English, formatted in HTML, exceeds 800 words (including structure and detailed analysis), and consistently integrates the keywords "Book Report," "Graphic Designer," and "Colombia Medellín" throughout the 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Graphic Designer in Contemporary Colombia Medellín</dc:title>
  <dc:creator/>
  <dc:language>en</dc:language>
  <cp:keywords/>
  <dcterms:created xsi:type="dcterms:W3CDTF">2026-07-29T17:35:54Z</dcterms:created>
  <dcterms:modified xsi:type="dcterms:W3CDTF">2026-07-29T17:35:54Z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