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book-report-analysis"/>
    <w:p>
      <w:pPr>
        <w:pStyle w:val="Heading1"/>
      </w:pPr>
      <w:r>
        <w:t xml:space="preserve">Book Report Analysis</w:t>
      </w:r>
    </w:p>
    <w:bookmarkStart w:id="22" w:name="title"/>
    <w:p>
      <w:pPr>
        <w:pStyle w:val="Heading2"/>
      </w:pPr>
      <w:r>
        <w:t xml:space="preserve">Title:</w:t>
      </w:r>
    </w:p>
    <w:p>
      <w:pPr>
        <w:pStyle w:val="FirstParagraph"/>
      </w:pPr>
      <w:r>
        <w:rPr>
          <w:bCs/>
          <w:b/>
        </w:rPr>
        <w:t xml:space="preserve">The Visual Voice of the Mediterranean Hub: Understanding the Graphic Designer in Israel Tel Aviv</w:t>
      </w:r>
    </w:p>
    <w:bookmarkStart w:id="20" w:name="date-of-report"/>
    <w:p>
      <w:pPr>
        <w:pStyle w:val="Heading3"/>
      </w:pPr>
      <w:r>
        <w:t xml:space="preserve">Date of Report:</w:t>
      </w:r>
    </w:p>
    <w:p>
      <w:pPr>
        <w:pStyle w:val="FirstParagraph"/>
      </w:pPr>
      <w:r>
        <w:t xml:space="preserve">Ongoing Research Cycle, 2024</w:t>
      </w:r>
    </w:p>
    <w:bookmarkEnd w:id="20"/>
    <w:bookmarkStart w:id="21" w:name="candidate-analyst"/>
    <w:p>
      <w:pPr>
        <w:pStyle w:val="Heading3"/>
      </w:pPr>
      <w:r>
        <w:t xml:space="preserve">Candidate Analyst:</w:t>
      </w:r>
    </w:p>
    <w:p>
      <w:pPr>
        <w:pStyle w:val="FirstParagraph"/>
      </w:pPr>
      <w:r>
        <w:t xml:space="preserve">Cultural Design Observer</w:t>
      </w:r>
    </w:p>
    <w:p>
      <w:r>
        <w:pict>
          <v:rect style="width:0;height:1.5pt" o:hralign="center" o:hrstd="t" o:hr="t"/>
        </w:pict>
      </w:r>
    </w:p>
    <w:bookmarkEnd w:id="21"/>
    <w:bookmarkEnd w:id="22"/>
    <w:bookmarkStart w:id="28" w:name="i.-introduction-and-contextual-overview"/>
    <w:p>
      <w:pPr>
        <w:pStyle w:val="Heading2"/>
      </w:pPr>
      <w:r>
        <w:t xml:space="preserve">I. Introduction and Contextual Overview</w:t>
      </w:r>
    </w:p>
    <w:p>
      <w:pPr>
        <w:pStyle w:val="FirstParagraph"/>
      </w:pPr>
      <w:r>
        <w:br/>
      </w:r>
      <w:r>
        <w:br/>
      </w:r>
      <w:r>
        <w:t xml:space="preserve">The modern metropolitan landscape is not merely a collection of buildings but a living canvas where communication, commerce, and culture intersect. In this intricate web, the</w:t>
      </w:r>
      <w:r>
        <w:t xml:space="preserve"> </w:t>
      </w:r>
      <w:r>
        <w:rPr>
          <w:bCs/>
          <w:b/>
        </w:rPr>
        <w:t xml:space="preserve">Graphic Designer</w:t>
      </w:r>
      <w:r>
        <w:t xml:space="preserve"> </w:t>
      </w:r>
      <w:r>
        <w:t xml:space="preserve">plays an indispensable role as the primary architect of visual narrative. This report examines the specific nuances of this profession within one of the world’s most dynamic urban centers:</w:t>
      </w:r>
      <w:r>
        <w:t xml:space="preserve"> </w:t>
      </w:r>
      <w:r>
        <w:rPr>
          <w:bCs/>
          <w:b/>
        </w:rPr>
        <w:t xml:space="preserve">Israel Tel Aviv</w:t>
      </w:r>
      <w:r>
        <w:t xml:space="preserve">. Known affectionately as "The Bubble" by locals and a global hub for innovation, Tel Aviv presents a unique case study for graphic design. The city is characterized by its high density, multicultural population, rapid pace of life, and its status as the startup capital of the world.</w:t>
      </w:r>
      <w:r>
        <w:br/>
      </w:r>
      <w:r>
        <w:br/>
      </w:r>
      <w:r>
        <w:br/>
      </w:r>
      <w:r>
        <w:t xml:space="preserve">This analysis explores how the</w:t>
      </w:r>
      <w:r>
        <w:t xml:space="preserve"> </w:t>
      </w:r>
      <w:r>
        <w:rPr>
          <w:bCs/>
          <w:b/>
        </w:rPr>
        <w:t xml:space="preserve">Graphic Designer</w:t>
      </w:r>
      <w:r>
        <w:t xml:space="preserve"> </w:t>
      </w:r>
      <w:r>
        <w:t xml:space="preserve">operates within this specific ecosystem. It is not enough to view design in isolation; one must understand that in</w:t>
      </w:r>
      <w:r>
        <w:t xml:space="preserve"> </w:t>
      </w:r>
      <w:r>
        <w:rPr>
          <w:bCs/>
          <w:b/>
        </w:rPr>
        <w:t xml:space="preserve">Israel Tel Aviv</w:t>
      </w:r>
      <w:r>
        <w:t xml:space="preserve">, design is often a tool for resilience, innovation, and global integration. The following sections delve into the stylistic preferences, market demands, and cultural pressures that shape the work of designers operating in this region.</w:t>
      </w:r>
    </w:p>
    <w:bookmarkStart w:id="23" w:name="X61e8e8527b867b3380f54ae0731692e4dfd152c"/>
    <w:p>
      <w:pPr>
        <w:pStyle w:val="Heading3"/>
      </w:pPr>
      <w:r>
        <w:t xml:space="preserve">II. The Cultural Mosaic: Designing for Diversity</w:t>
      </w:r>
    </w:p>
    <w:p>
      <w:pPr>
        <w:pStyle w:val="FirstParagraph"/>
      </w:pPr>
      <w:r>
        <w:br/>
      </w:r>
      <w:r>
        <w:br/>
      </w:r>
      <w:r>
        <w:t xml:space="preserve">A</w:t>
      </w:r>
      <w:r>
        <w:t xml:space="preserve"> </w:t>
      </w:r>
      <w:r>
        <w:rPr>
          <w:bCs/>
          <w:b/>
        </w:rPr>
        <w:t xml:space="preserve">Graphic Designer</w:t>
      </w:r>
      <w:r>
        <w:t xml:space="preserve"> </w:t>
      </w:r>
      <w:r>
        <w:t xml:space="preserve">working in</w:t>
      </w:r>
      <w:r>
        <w:t xml:space="preserve"> </w:t>
      </w:r>
      <w:r>
        <w:rPr>
          <w:bCs/>
          <w:b/>
        </w:rPr>
        <w:t xml:space="preserve">Israel Tel Aviv</w:t>
      </w:r>
      <w:r>
        <w:t xml:space="preserve"> </w:t>
      </w:r>
      <w:r>
        <w:t xml:space="preserve">faces a distinct challenge: the need to communicate across a vast spectrum of cultural backgrounds. Tel Aviv is home to native Israelis, new immigrants from former Soviet states, Latin America, Ethiopia, and France, as well as a transient population of international tech workers and tourists.</w:t>
      </w:r>
      <w:r>
        <w:br/>
      </w:r>
      <w:r>
        <w:br/>
      </w:r>
      <w:r>
        <w:t xml:space="preserve">The effective</w:t>
      </w:r>
      <w:r>
        <w:t xml:space="preserve"> </w:t>
      </w:r>
      <w:r>
        <w:rPr>
          <w:bCs/>
          <w:b/>
        </w:rPr>
        <w:t xml:space="preserve">Graphic Designer</w:t>
      </w:r>
      <w:r>
        <w:t xml:space="preserve"> </w:t>
      </w:r>
      <w:r>
        <w:t xml:space="preserve">in this context must possess a high degree of cultural intelligence. Visual language cannot rely solely on Hebrew typography or Western-centric imagery without alienating segments of the population. For instance, branding for local municipalities or international corporations headquartered in the Tel Aviv district must often balance modernist aesthetics with traditional motifs that resonate across different demographic groups.</w:t>
      </w:r>
      <w:r>
        <w:br/>
      </w:r>
      <w:r>
        <w:br/>
      </w:r>
      <w:r>
        <w:t xml:space="preserve">This diversity forces the</w:t>
      </w:r>
      <w:r>
        <w:t xml:space="preserve"> </w:t>
      </w:r>
      <w:r>
        <w:rPr>
          <w:bCs/>
          <w:b/>
        </w:rPr>
        <w:t xml:space="preserve">Graphic Designer</w:t>
      </w:r>
      <w:r>
        <w:t xml:space="preserve"> </w:t>
      </w:r>
      <w:r>
        <w:t xml:space="preserve">to adopt a hybrid approach. We observe a frequent blending of minimalism—a global standard—with vibrant, warm color palettes that reflect the Mediterranean climate and the "Sabra" character (tough on the outside, sweet on the inside). The visual identity of brands in this region often seeks to project openness and accessibility while maintaining professional rigor.</w:t>
      </w:r>
    </w:p>
    <w:bookmarkEnd w:id="23"/>
    <w:bookmarkStart w:id="24" w:name="X549c760d980efbe5732fa125da400192f34fd66"/>
    <w:p>
      <w:pPr>
        <w:pStyle w:val="Heading3"/>
      </w:pPr>
      <w:r>
        <w:t xml:space="preserve">III. The Startup Ecosystem: Speed as a Design Aesthetic</w:t>
      </w:r>
    </w:p>
    <w:p>
      <w:pPr>
        <w:pStyle w:val="FirstParagraph"/>
      </w:pPr>
      <w:r>
        <w:br/>
      </w:r>
      <w:r>
        <w:br/>
      </w:r>
      <w:r>
        <w:t xml:space="preserve">No discussion of graphic design in</w:t>
      </w:r>
      <w:r>
        <w:t xml:space="preserve"> </w:t>
      </w:r>
      <w:r>
        <w:rPr>
          <w:bCs/>
          <w:b/>
        </w:rPr>
        <w:t xml:space="preserve">Israel Tel Aviv</w:t>
      </w:r>
      <w:r>
        <w:t xml:space="preserve"> </w:t>
      </w:r>
      <w:r>
        <w:t xml:space="preserve">is complete without addressing the "Startup Nation" phenomenon. The city is saturated with venture capital-funded companies, fintechs, and cyber-security firms. For the</w:t>
      </w:r>
      <w:r>
        <w:t xml:space="preserve"> </w:t>
      </w:r>
      <w:r>
        <w:rPr>
          <w:bCs/>
          <w:b/>
        </w:rPr>
        <w:t xml:space="preserve">Graphic Designer</w:t>
      </w:r>
      <w:r>
        <w:t xml:space="preserve">, this creates a market driven by speed, scalability, and clarity.</w:t>
      </w:r>
      <w:r>
        <w:br/>
      </w:r>
      <w:r>
        <w:br/>
      </w:r>
      <w:r>
        <w:t xml:space="preserve">In traditional European or Asian design markets, branding processes might take months of deliberation. In</w:t>
      </w:r>
      <w:r>
        <w:t xml:space="preserve"> </w:t>
      </w:r>
      <w:r>
        <w:rPr>
          <w:bCs/>
          <w:b/>
        </w:rPr>
        <w:t xml:space="preserve">Israel Tel Aviv</w:t>
      </w:r>
      <w:r>
        <w:t xml:space="preserve">, the turnover is rapid. The</w:t>
      </w:r>
      <w:r>
        <w:t xml:space="preserve"> </w:t>
      </w:r>
      <w:r>
        <w:rPr>
          <w:bCs/>
          <w:b/>
        </w:rPr>
        <w:t xml:space="preserve">Graphic Designer</w:t>
      </w:r>
      <w:r>
        <w:t xml:space="preserve"> </w:t>
      </w:r>
      <w:r>
        <w:t xml:space="preserve">is often expected to pivot brand identities quickly in response to market feedback or funding rounds. This has led to a prevalence of clean, flat design and user experience (UX) focused visual systems that prioritize function over ornamental decoration.</w:t>
      </w:r>
      <w:r>
        <w:br/>
      </w:r>
      <w:r>
        <w:br/>
      </w:r>
      <w:r>
        <w:t xml:space="preserve">However, this demand for speed does not preclude creativity. On the contrary, it challenges the</w:t>
      </w:r>
      <w:r>
        <w:t xml:space="preserve"> </w:t>
      </w:r>
      <w:r>
        <w:rPr>
          <w:bCs/>
          <w:b/>
        </w:rPr>
        <w:t xml:space="preserve">Graphic Designer</w:t>
      </w:r>
      <w:r>
        <w:t xml:space="preserve"> </w:t>
      </w:r>
      <w:r>
        <w:t xml:space="preserve">to be more innovative within constraints. The most successful designers in this sector are those who can distill complex technological concepts into simple, compelling visual metaphors that appeal to both local investors and global stakeholders. The aesthetic is often futuristic, utilizing sans-serif fonts and high-contrast colors to signal technological advancement.</w:t>
      </w:r>
    </w:p>
    <w:bookmarkEnd w:id="24"/>
    <w:bookmarkStart w:id="25" w:name="iv.-typography-and-linguistic-challenges"/>
    <w:p>
      <w:pPr>
        <w:pStyle w:val="Heading3"/>
      </w:pPr>
      <w:r>
        <w:t xml:space="preserve">IV. Typography and Linguistic Challenges</w:t>
      </w:r>
    </w:p>
    <w:p>
      <w:pPr>
        <w:pStyle w:val="FirstParagraph"/>
      </w:pPr>
      <w:r>
        <w:br/>
      </w:r>
      <w:r>
        <w:br/>
      </w:r>
      <w:r>
        <w:t xml:space="preserve">The Hebrew language presents unique typographic challenges for the</w:t>
      </w:r>
      <w:r>
        <w:t xml:space="preserve"> </w:t>
      </w:r>
      <w:r>
        <w:rPr>
          <w:bCs/>
          <w:b/>
        </w:rPr>
        <w:t xml:space="preserve">Graphic Designer</w:t>
      </w:r>
      <w:r>
        <w:t xml:space="preserve">. Unlike Latin scripts, Hebrew reads right-to-left (RTL) and lacks lowercase letters. In</w:t>
      </w:r>
      <w:r>
        <w:t xml:space="preserve"> </w:t>
      </w:r>
      <w:r>
        <w:rPr>
          <w:bCs/>
          <w:b/>
        </w:rPr>
        <w:t xml:space="preserve">Israel Tel Aviv</w:t>
      </w:r>
      <w:r>
        <w:t xml:space="preserve">, where bilingual communication (Hebrew/English) is standard in business and tourism, the</w:t>
      </w:r>
      <w:r>
        <w:t xml:space="preserve"> </w:t>
      </w:r>
      <w:r>
        <w:rPr>
          <w:bCs/>
          <w:b/>
        </w:rPr>
        <w:t xml:space="preserve">Graphic Designer</w:t>
      </w:r>
      <w:r>
        <w:t xml:space="preserve"> </w:t>
      </w:r>
      <w:r>
        <w:t xml:space="preserve">must master the art of mixed-directional layouts.</w:t>
      </w:r>
      <w:r>
        <w:br/>
      </w:r>
      <w:r>
        <w:br/>
      </w:r>
      <w:r>
        <w:t xml:space="preserve">This requires a sophisticated understanding of grid systems that can accommodate both scripts seamlessly without creating visual dissonance. Poor execution in this area is immediately noticeable to native speakers, marking the work as amateurish. Consequently, top-tier</w:t>
      </w:r>
      <w:r>
        <w:t xml:space="preserve"> </w:t>
      </w:r>
      <w:r>
        <w:rPr>
          <w:bCs/>
          <w:b/>
        </w:rPr>
        <w:t xml:space="preserve">Graphic Designer</w:t>
      </w:r>
      <w:r>
        <w:t xml:space="preserve"> </w:t>
      </w:r>
      <w:r>
        <w:t xml:space="preserve">portfolios in</w:t>
      </w:r>
      <w:r>
        <w:t xml:space="preserve"> </w:t>
      </w:r>
      <w:r>
        <w:rPr>
          <w:bCs/>
          <w:b/>
        </w:rPr>
        <w:t xml:space="preserve">Israel Tel Aviv</w:t>
      </w:r>
      <w:r>
        <w:t xml:space="preserve"> </w:t>
      </w:r>
      <w:r>
        <w:t xml:space="preserve">often showcase intricate typographic treatments that honor the geometric beauty of Hebrew characters while integrating them harmoniously with Latin typefaces.</w:t>
      </w:r>
      <w:r>
        <w:br/>
      </w:r>
      <w:r>
        <w:br/>
      </w:r>
      <w:r>
        <w:t xml:space="preserve">This linguistic duality extends to advertising. The tone of voice in Israeli advertising is famously direct, humorous, and sometimes irreverent compared to its American or European counterparts. The</w:t>
      </w:r>
      <w:r>
        <w:t xml:space="preserve"> </w:t>
      </w:r>
      <w:r>
        <w:rPr>
          <w:bCs/>
          <w:b/>
        </w:rPr>
        <w:t xml:space="preserve">Graphic Designer</w:t>
      </w:r>
      <w:r>
        <w:t xml:space="preserve"> </w:t>
      </w:r>
      <w:r>
        <w:t xml:space="preserve">must collaborate closely with copywriters to ensure that the visual hierarchy supports this bold communication style. Images are often candid, raw, and human-centric rather than overly polished or sterile.</w:t>
      </w:r>
    </w:p>
    <w:bookmarkEnd w:id="25"/>
    <w:bookmarkStart w:id="26" w:name="v.-sustainability-and-urban-integration"/>
    <w:p>
      <w:pPr>
        <w:pStyle w:val="Heading3"/>
      </w:pPr>
      <w:r>
        <w:t xml:space="preserve">V. Sustainability and Urban Integration</w:t>
      </w:r>
    </w:p>
    <w:p>
      <w:pPr>
        <w:pStyle w:val="FirstParagraph"/>
      </w:pPr>
      <w:r>
        <w:br/>
      </w:r>
      <w:r>
        <w:br/>
      </w:r>
      <w:r>
        <w:t xml:space="preserve">As</w:t>
      </w:r>
      <w:r>
        <w:t xml:space="preserve"> </w:t>
      </w:r>
      <w:r>
        <w:rPr>
          <w:bCs/>
          <w:b/>
        </w:rPr>
        <w:t xml:space="preserve">Israel Tel Aviv</w:t>
      </w:r>
      <w:r>
        <w:t xml:space="preserve"> </w:t>
      </w:r>
      <w:r>
        <w:t xml:space="preserve">grapples with issues of sustainability, urban density, and environmental responsibility, the</w:t>
      </w:r>
      <w:r>
        <w:t xml:space="preserve"> </w:t>
      </w:r>
      <w:r>
        <w:rPr>
          <w:bCs/>
          <w:b/>
        </w:rPr>
        <w:t xml:space="preserve">Graphic Designer</w:t>
      </w:r>
      <w:r>
        <w:t xml:space="preserve"> </w:t>
      </w:r>
      <w:r>
        <w:t xml:space="preserve">is increasingly called upon to advocate for these values through visual communication.</w:t>
      </w:r>
      <w:r>
        <w:br/>
      </w:r>
      <w:r>
        <w:br/>
      </w:r>
      <w:r>
        <w:t xml:space="preserve">We are seeing a shift in public sector design where information graphics regarding recycling, water conservation (a critical issue in Israel), and public health are designed with clarity and urgency. The</w:t>
      </w:r>
      <w:r>
        <w:t xml:space="preserve"> </w:t>
      </w:r>
      <w:r>
        <w:rPr>
          <w:bCs/>
          <w:b/>
        </w:rPr>
        <w:t xml:space="preserve">Graphic Designer</w:t>
      </w:r>
      <w:r>
        <w:t xml:space="preserve"> </w:t>
      </w:r>
      <w:r>
        <w:t xml:space="preserve">here acts as an educator. Furthermore, the physical environment of Tel Aviv, with its famous Bauhaus architecture (a UNESCO World Heritage site), influences digital design trends. There is a resurgence of interest in mid-century modern aesthetics—clean lines, functional forms, and muted colors—which reflects a desire to connect with the city's historical identity amidst its modern growth.</w:t>
      </w:r>
      <w:r>
        <w:br/>
      </w:r>
      <w:r>
        <w:br/>
      </w:r>
      <w:r>
        <w:t xml:space="preserve">The</w:t>
      </w:r>
      <w:r>
        <w:t xml:space="preserve"> </w:t>
      </w:r>
      <w:r>
        <w:rPr>
          <w:bCs/>
          <w:b/>
        </w:rPr>
        <w:t xml:space="preserve">Graphic Designer</w:t>
      </w:r>
      <w:r>
        <w:t xml:space="preserve"> </w:t>
      </w:r>
      <w:r>
        <w:t xml:space="preserve">in this context must balance the "newness" of tech innovation with the "heritage" of Tel Aviv’s architectural soul. Successful campaigns often reference this heritage, using visual cues that evoke nostalgia while promoting modern services.</w:t>
      </w:r>
    </w:p>
    <w:bookmarkEnd w:id="26"/>
    <w:bookmarkStart w:id="27" w:name="X7c2910350de57e5cd5c17ba6f395e2a8b46bf6a"/>
    <w:p>
      <w:pPr>
        <w:pStyle w:val="Heading3"/>
      </w:pPr>
      <w:r>
        <w:t xml:space="preserve">VI. Conclusion: The Future of Design in a Micro-Nation Hub</w:t>
      </w:r>
    </w:p>
    <w:p>
      <w:pPr>
        <w:pStyle w:val="FirstParagraph"/>
      </w:pPr>
      <w:r>
        <w:br/>
      </w:r>
      <w:r>
        <w:br/>
      </w:r>
      <w:r>
        <w:t xml:space="preserve">In conclusion, the role of the</w:t>
      </w:r>
      <w:r>
        <w:t xml:space="preserve"> </w:t>
      </w:r>
      <w:r>
        <w:rPr>
          <w:bCs/>
          <w:b/>
        </w:rPr>
        <w:t xml:space="preserve">Graphic Designer</w:t>
      </w:r>
      <w:r>
        <w:t xml:space="preserve"> </w:t>
      </w:r>
      <w:r>
        <w:t xml:space="preserve">in</w:t>
      </w:r>
      <w:r>
        <w:t xml:space="preserve"> </w:t>
      </w:r>
      <w:r>
        <w:rPr>
          <w:bCs/>
          <w:b/>
        </w:rPr>
        <w:t xml:space="preserve">Israel Tel Aviv</w:t>
      </w:r>
      <w:r>
        <w:t xml:space="preserve"> </w:t>
      </w:r>
      <w:r>
        <w:t xml:space="preserve">is multifaceted and critically important. It is not merely about making things look good; it is about facilitating communication in a hyper-diverse, fast-paced, and linguistically complex environment.</w:t>
      </w:r>
      <w:r>
        <w:br/>
      </w:r>
      <w:r>
        <w:br/>
      </w:r>
      <w:r>
        <w:t xml:space="preserve">The findings of this report suggest that the successful</w:t>
      </w:r>
      <w:r>
        <w:t xml:space="preserve"> </w:t>
      </w:r>
      <w:r>
        <w:rPr>
          <w:bCs/>
          <w:b/>
        </w:rPr>
        <w:t xml:space="preserve">Graphic Designer</w:t>
      </w:r>
      <w:r>
        <w:t xml:space="preserve"> </w:t>
      </w:r>
      <w:r>
        <w:t xml:space="preserve">in this region must possess:</w:t>
      </w:r>
      <w:r>
        <w:br/>
      </w:r>
    </w:p>
    <w:p>
      <w:pPr>
        <w:numPr>
          <w:ilvl w:val="0"/>
          <w:numId w:val="1001"/>
        </w:numPr>
        <w:pStyle w:val="Compact"/>
      </w:pPr>
      <w:r>
        <w:rPr>
          <w:bCs/>
          <w:b/>
        </w:rPr>
        <w:t xml:space="preserve">Cultural Agility:</w:t>
      </w:r>
      <w:r>
        <w:t xml:space="preserve"> </w:t>
      </w:r>
      <w:r>
        <w:t xml:space="preserve">The ability to design for a multicultural audience.</w:t>
      </w:r>
    </w:p>
    <w:p>
      <w:pPr>
        <w:numPr>
          <w:ilvl w:val="0"/>
          <w:numId w:val="1001"/>
        </w:numPr>
        <w:pStyle w:val="Compact"/>
      </w:pPr>
      <w:r>
        <w:rPr>
          <w:iCs/>
          <w:i/>
        </w:rPr>
        <w:t xml:space="preserve">Tech-Savviness:</w:t>
      </w:r>
      <w:r>
        <w:t xml:space="preserve">An understanding of digital-first branding driven by the startup ecosystem.</w:t>
      </w:r>
    </w:p>
    <w:p>
      <w:pPr>
        <w:numPr>
          <w:ilvl w:val="0"/>
          <w:numId w:val="1002"/>
        </w:numPr>
        <w:pStyle w:val="Compact"/>
      </w:pPr>
      <w:r>
        <w:t xml:space="preserve">Linguistic Precision: Mastery of Hebrew and English typographic integration.</w:t>
      </w:r>
    </w:p>
    <w:p>
      <w:pPr>
        <w:pStyle w:val="FirstParagraph"/>
      </w:pPr>
      <w:r>
        <w:t xml:space="preserve">As</w:t>
      </w:r>
      <w:r>
        <w:t xml:space="preserve"> </w:t>
      </w:r>
      <w:r>
        <w:rPr>
          <w:bCs/>
          <w:b/>
        </w:rPr>
        <w:t xml:space="preserve">Israel Tel Aviv</w:t>
      </w:r>
      <w:r>
        <w:t xml:space="preserve"> </w:t>
      </w:r>
      <w:r>
        <w:t xml:space="preserve">continues to grow as a global city, the demand for high-caliber</w:t>
      </w:r>
      <w:r>
        <w:t xml:space="preserve"> </w:t>
      </w:r>
      <w:r>
        <w:rPr>
          <w:bCs/>
          <w:b/>
        </w:rPr>
        <w:t xml:space="preserve">Graphic Designer</w:t>
      </w:r>
      <w:r>
        <w:t xml:space="preserve"> </w:t>
      </w:r>
      <w:r>
        <w:t xml:space="preserve">services will only increase. The city’s visual identity is still being written, and those who can navigate the intersection of tradition, technology, and diversity will define its future aesthetic.</w:t>
      </w:r>
      <w:r>
        <w:br/>
      </w:r>
      <w:r>
        <w:br/>
      </w:r>
      <w:r>
        <w:t xml:space="preserve">The</w:t>
      </w:r>
      <w:r>
        <w:t xml:space="preserve"> </w:t>
      </w:r>
      <w:r>
        <w:rPr>
          <w:bCs/>
          <w:b/>
        </w:rPr>
        <w:t xml:space="preserve">Graphic Designer</w:t>
      </w:r>
      <w:r>
        <w:t xml:space="preserve"> </w:t>
      </w:r>
      <w:r>
        <w:t xml:space="preserve">is thus not just a service provider but a key cultural influencer in the heart of</w:t>
      </w:r>
      <w:r>
        <w:t xml:space="preserve"> </w:t>
      </w:r>
      <w:r>
        <w:rPr>
          <w:bCs/>
          <w:b/>
        </w:rPr>
        <w:t xml:space="preserve">Israel Tel Aviv</w:t>
      </w:r>
      <w:r>
        <w:t xml:space="preserve">. Their work shapes how residents perceive their city and how the world perceives Israel.</w:t>
      </w:r>
    </w:p>
    <w:p>
      <w:r>
        <w:pict>
          <v:rect style="width:0;height:1.5pt" o:hralign="center" o:hrstd="t" o:hr="t"/>
        </w:pict>
      </w:r>
    </w:p>
    <w:p>
      <w:pPr>
        <w:pStyle w:val="FirstParagraph"/>
      </w:pPr>
      <w:r>
        <w:rPr>
          <w:iCs/>
          <w:i/>
        </w:rPr>
        <w:t xml:space="preserve">This Book Report was prepared for educational and analytical purposes regarding the design industry in</w:t>
      </w:r>
      <w:r>
        <w:rPr>
          <w:iCs/>
          <w:i/>
        </w:rPr>
        <w:t xml:space="preserve"> </w:t>
      </w:r>
      <w:r>
        <w:rPr>
          <w:bCs/>
          <w:b/>
          <w:iCs/>
          <w:i/>
        </w:rPr>
        <w:t xml:space="preserve">Israel Tel Aviv</w:t>
      </w:r>
      <w:r>
        <w:rPr>
          <w:iCs/>
          <w:i/>
        </w:rPr>
        <w:t xml:space="preserve">.</w:t>
      </w:r>
    </w:p>
    <w:p>
      <w:pPr>
        <w:pStyle w:val="BodyText"/>
      </w:pPr>
      <w:r>
        <w:t xml:space="preserve">© 2024 Design Analysis Group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Graphic Designer in Israel Tel Aviv</dc:title>
  <dc:creator/>
  <dc:language>en</dc:language>
  <cp:keywords/>
  <dcterms:created xsi:type="dcterms:W3CDTF">2026-07-29T12:31:26Z</dcterms:created>
  <dcterms:modified xsi:type="dcterms:W3CDTF">2026-07-29T12:31:26Z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