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Hairdresser:</w:t>
      </w:r>
      <w:r>
        <w:t xml:space="preserve"> </w:t>
      </w:r>
      <w:r>
        <w:t xml:space="preserve">A</w:t>
      </w:r>
      <w:r>
        <w:t xml:space="preserve"> </w:t>
      </w:r>
      <w:r>
        <w:t xml:space="preserve">Cultural</w:t>
      </w:r>
      <w:r>
        <w:t xml:space="preserve"> </w:t>
      </w:r>
      <w:r>
        <w:t xml:space="preserve">and</w:t>
      </w:r>
      <w:r>
        <w:t xml:space="preserve"> </w:t>
      </w:r>
      <w:r>
        <w:t xml:space="preserve">Professional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Hairdresser: A Cultural and Professional Analysis in the Context of Uzbekistan Tashkent</dc:title>
  <dc:creator/>
  <dc:language>en</dc:language>
  <cp:keywords/>
  <dcterms:created xsi:type="dcterms:W3CDTF">2026-09-28T09:47:58Z</dcterms:created>
  <dcterms:modified xsi:type="dcterms:W3CDTF">2026-09-28T09:47:58Z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