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20" w:name="X15d4bf31cf9c2679bf70fb8f068c57b265f804c"/>
    <w:p>
      <w:pPr>
        <w:pStyle w:val="Heading1"/>
      </w:pPr>
      <w:r>
        <w:t xml:space="preserve">Book Report: The Strategic Human Resources Manager in the Context of Bangladesh Dhaka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Status: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Dhaka"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📚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"Navigating the Labyrinth of Talent in Dhaka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Strategic Human Resources Manager in the Context of Bangladesh Dhaka</dc:title>
  <dc:creator/>
  <dc:language>en</dc:language>
  <cp:keywords/>
  <dcterms:created xsi:type="dcterms:W3CDTF">2026-07-29T16:42:36Z</dcterms:created>
  <dcterms:modified xsi:type="dcterms:W3CDTF">2026-07-29T16:42:36Z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