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Kuwait</w:t>
      </w:r>
      <w:r>
        <w:t xml:space="preserve"> </w:t>
      </w:r>
      <w:r>
        <w:t xml:space="preserve">City</w:t>
      </w:r>
    </w:p>
    <w:bookmarkStart w:id="29" w:name="Xae01bef913533a3d7046f469c4cb6fcd03ec69b"/>
    <w:p>
      <w:pPr>
        <w:pStyle w:val="Heading1"/>
      </w:pPr>
      <w:r>
        <w:t xml:space="preserve">Book Report: Judicial Authority and Social Harmony</w:t>
      </w:r>
      <w:r>
        <w:br/>
      </w:r>
      <w:r>
        <w:t xml:space="preserve">A Focus on the Judge in Kuwait City</w:t>
      </w:r>
    </w:p>
    <w:p>
      <w:pPr>
        <w:pStyle w:val="FirstParagraph"/>
      </w:pPr>
      <w:r>
        <w:rPr>
          <w:bCs/>
          <w:b/>
        </w:rPr>
        <w:t xml:space="preserve">Title:</w:t>
      </w:r>
      <w:r>
        <w:t xml:space="preserve"> </w:t>
      </w:r>
      <w:r>
        <w:t xml:space="preserve">The Architecture of Justice: Cultural Nuances of the Judiciary in Kuwait</w:t>
      </w:r>
      <w:r>
        <w:br/>
      </w:r>
      <w:r>
        <w:rPr>
          <w:bCs/>
          <w:b/>
        </w:rPr>
        <w:t xml:space="preserve">Fictional Source Material Analysis:</w:t>
      </w:r>
      <w:r>
        <w:t xml:space="preserve"> </w:t>
      </w:r>
      <w:r>
        <w:t xml:space="preserve">"Shadows and Scales: A Legal Drama in the Gulf"</w:t>
      </w:r>
      <w:r>
        <w:br/>
      </w:r>
      <w:r>
        <w:rPr>
          <w:bCs/>
          <w:b/>
        </w:rPr>
        <w:t xml:space="preserve">Date Prepared:</w:t>
      </w:r>
      <w:r>
        <w:t xml:space="preserve"> </w:t>
      </w:r>
      <w:r>
        <w:t xml:space="preserve">October 26, 2023</w:t>
      </w:r>
      <w:r>
        <w:br/>
      </w:r>
      <w:r>
        <w:rPr>
          <w:iCs/>
          <w:i/>
        </w:rPr>
        <w:t xml:space="preserve">Note: This report synthesizes general legal frameworks with literary analysis to explore the concept of the Judge within the specific cultural context of Kuwait City.</w:t>
      </w:r>
    </w:p>
    <w:bookmarkStart w:id="20" w:name="i.-introduction"/>
    <w:p>
      <w:pPr>
        <w:pStyle w:val="Heading2"/>
      </w:pPr>
      <w:r>
        <w:t xml:space="preserve">I. Introduction</w:t>
      </w:r>
    </w:p>
    <w:p>
      <w:pPr>
        <w:pStyle w:val="FirstParagraph"/>
      </w:pPr>
      <w:r>
        <w:t xml:space="preserve">The concept of justice is universal, yet its application is profoundly local. In analyzing literature and legal studies concerning Kuwait, one cannot separate the figure of the</w:t>
      </w:r>
      <w:r>
        <w:t xml:space="preserve"> </w:t>
      </w:r>
      <w:r>
        <w:rPr>
          <w:bCs/>
          <w:b/>
        </w:rPr>
        <w:t xml:space="preserve">Judge</w:t>
      </w:r>
      <w:r>
        <w:t xml:space="preserve"> </w:t>
      </w:r>
      <w:r>
        <w:t xml:space="preserve">from the vibrant, complex socio-cultural fabric of</w:t>
      </w:r>
      <w:r>
        <w:t xml:space="preserve"> </w:t>
      </w:r>
      <w:r>
        <w:rPr>
          <w:bCs/>
          <w:b/>
        </w:rPr>
        <w:t xml:space="preserve">Kuwait City</w:t>
      </w:r>
      <w:r>
        <w:t xml:space="preserve">. This report examines how legal proceedings are not merely bureaucratic functions but are deeply embedded in the traditions, religious values, and modern aspirations of Kuwaiti society. The setting of Kuwait City serves as more than a backdrop; it is an active participant in the narrative of law and order. By exploring these dynamics, we gain insight into how a</w:t>
      </w:r>
      <w:r>
        <w:t xml:space="preserve"> </w:t>
      </w:r>
      <w:r>
        <w:rPr>
          <w:bCs/>
          <w:b/>
        </w:rPr>
        <w:t xml:space="preserve">Judge</w:t>
      </w:r>
      <w:r>
        <w:t xml:space="preserve"> </w:t>
      </w:r>
      <w:r>
        <w:t xml:space="preserve">operates not just as an arbiter of statutes, but as a guardian of social cohesion in one of the Middle East’s most dynamic urban centers.</w:t>
      </w:r>
    </w:p>
    <w:bookmarkEnd w:id="20"/>
    <w:bookmarkStart w:id="21" w:name="ii.-the-contextual-landscape-kuwait-city"/>
    <w:p>
      <w:pPr>
        <w:pStyle w:val="Heading2"/>
      </w:pPr>
      <w:r>
        <w:t xml:space="preserve">II. The Contextual Landscape: Kuwait City</w:t>
      </w:r>
    </w:p>
    <w:p>
      <w:pPr>
        <w:pStyle w:val="FirstParagraph"/>
      </w:pPr>
      <w:r>
        <w:t xml:space="preserve">Kuwait City represents a unique juxtaposition of rapid modernization and deep-rooted tradition. As the capital, it is where the ancient values of tribal honor and Islamic jurisprudence intersect with international business law and civil codes. For a</w:t>
      </w:r>
      <w:r>
        <w:t xml:space="preserve"> </w:t>
      </w:r>
      <w:r>
        <w:rPr>
          <w:bCs/>
          <w:b/>
        </w:rPr>
        <w:t xml:space="preserve">Judge</w:t>
      </w:r>
      <w:r>
        <w:t xml:space="preserve"> </w:t>
      </w:r>
      <w:r>
        <w:t xml:space="preserve">operating within this city, the challenges are multifaceted. The legal system in Kuwait is a hybrid model, deriving significantly from Egyptian civil law traditions while being heavily influenced by Sharia (Islamic law). This dual influence creates a distinct legal environment that differs markedly from Western common law systems.</w:t>
      </w:r>
    </w:p>
    <w:p>
      <w:pPr>
        <w:pStyle w:val="BodyText"/>
      </w:pPr>
      <w:r>
        <w:t xml:space="preserve">In Kuwait City, the atmosphere of justice is palpable. The courts are located within specific administrative zones that reflect the seriousness of their function. However, outside these walls, the society itself acts as an informal court of public opinion. The density of social networks in Kuwait City means that legal disputes often ripple through families and communities before they ever reach a courtroom. Therefore, understanding the</w:t>
      </w:r>
      <w:r>
        <w:t xml:space="preserve"> </w:t>
      </w:r>
      <w:r>
        <w:rPr>
          <w:bCs/>
          <w:b/>
        </w:rPr>
        <w:t xml:space="preserve">Judge</w:t>
      </w:r>
      <w:r>
        <w:t xml:space="preserve"> </w:t>
      </w:r>
      <w:r>
        <w:t xml:space="preserve">requires an understanding of this social pressure and the expectation for rulings that not only follow the letter of the law but also respect communal harmony.</w:t>
      </w:r>
    </w:p>
    <w:bookmarkEnd w:id="21"/>
    <w:bookmarkStart w:id="24" w:name="X80adb2d7a2f0fa8cfdc92c2492bcc4cea3b0ef6"/>
    <w:p>
      <w:pPr>
        <w:pStyle w:val="Heading2"/>
      </w:pPr>
      <w:r>
        <w:t xml:space="preserve">III. The Role and Characterization of the Judge</w:t>
      </w:r>
    </w:p>
    <w:bookmarkStart w:id="22" w:name="a.-the-guardian-of-sharia-and-civil-law"/>
    <w:p>
      <w:pPr>
        <w:pStyle w:val="Heading3"/>
      </w:pPr>
      <w:r>
        <w:t xml:space="preserve">A. The Guardian of Sharia and Civil Law</w:t>
      </w:r>
    </w:p>
    <w:p>
      <w:pPr>
        <w:pStyle w:val="FirstParagraph"/>
      </w:pPr>
      <w:r>
        <w:t xml:space="preserve">In literary depictions and real-world analysis, the</w:t>
      </w:r>
      <w:r>
        <w:t xml:space="preserve"> </w:t>
      </w:r>
      <w:r>
        <w:rPr>
          <w:bCs/>
          <w:b/>
        </w:rPr>
        <w:t xml:space="preserve">Judge</w:t>
      </w:r>
      <w:r>
        <w:t xml:space="preserve"> </w:t>
      </w:r>
      <w:r>
        <w:t xml:space="preserve">in Kuwait is often portrayed as a figure of immense dignity and moral authority. Unlike in some secular jurisdictions where the law is viewed as a purely logical construct, the role of the Judge in Kuwait City carries religious weight. The judge must interpret civil statutes through the lens of Sharia principles, particularly in matters regarding family law, inheritance, and personal status. This requires a deep theological education alongside legal training.</w:t>
      </w:r>
    </w:p>
    <w:p>
      <w:pPr>
        <w:pStyle w:val="BodyText"/>
      </w:pPr>
      <w:r>
        <w:t xml:space="preserve">A typical narrative involving a</w:t>
      </w:r>
      <w:r>
        <w:t xml:space="preserve"> </w:t>
      </w:r>
      <w:r>
        <w:rPr>
          <w:bCs/>
          <w:b/>
        </w:rPr>
        <w:t xml:space="preserve">Judge</w:t>
      </w:r>
      <w:r>
        <w:t xml:space="preserve"> </w:t>
      </w:r>
      <w:r>
        <w:t xml:space="preserve">in this setting highlights the internal struggle of balancing strict statutory interpretation with the mitigating factors provided by Islamic mercy (*Rahma*). The Judge is expected to be impartial, yet empathetic. In Kuwait City, where family ties are paramount, a ruling that destroys a family unit without attempting reconciliation is often viewed as legally correct but socially disastrous. Thus, the ideal</w:t>
      </w:r>
      <w:r>
        <w:t xml:space="preserve"> </w:t>
      </w:r>
      <w:r>
        <w:rPr>
          <w:bCs/>
          <w:b/>
        </w:rPr>
        <w:t xml:space="preserve">Judge</w:t>
      </w:r>
      <w:r>
        <w:t xml:space="preserve"> </w:t>
      </w:r>
      <w:r>
        <w:t xml:space="preserve">in this context acts as a mediator first and an adjudicator second.</w:t>
      </w:r>
    </w:p>
    <w:bookmarkEnd w:id="22"/>
    <w:bookmarkStart w:id="23" w:name="X63632e045ed068fb7ecb367c5ad4a0a358fbb30"/>
    <w:p>
      <w:pPr>
        <w:pStyle w:val="Heading3"/>
      </w:pPr>
      <w:r>
        <w:t xml:space="preserve">B. Cultural Sensitivity and Linguistic Nuance</w:t>
      </w:r>
    </w:p>
    <w:p>
      <w:pPr>
        <w:pStyle w:val="FirstParagraph"/>
      </w:pPr>
      <w:r>
        <w:t xml:space="preserve">The language used in the courts of Kuwait City is Arabic, specifically within a formal, legal register. The power of the</w:t>
      </w:r>
      <w:r>
        <w:t xml:space="preserve"> </w:t>
      </w:r>
      <w:r>
        <w:rPr>
          <w:bCs/>
          <w:b/>
        </w:rPr>
        <w:t xml:space="preserve">Judge</w:t>
      </w:r>
      <w:r>
        <w:t xml:space="preserve"> </w:t>
      </w:r>
      <w:r>
        <w:t xml:space="preserve">is partly derived from their command over this language and its cultural connotations. Metaphors, proverbs, and Quranic verses are often subtly or explicitly referenced in judgments to legitimize decisions in the eyes of the public. A successful Judge must be fluent not only in legal terminology but also in the cultural dialects of Kuwait City, ranging from Bedouin roots to urban cosmopolitan speech patterns. This linguistic agility allows the</w:t>
      </w:r>
      <w:r>
        <w:t xml:space="preserve"> </w:t>
      </w:r>
      <w:r>
        <w:rPr>
          <w:bCs/>
          <w:b/>
        </w:rPr>
        <w:t xml:space="preserve">Judge</w:t>
      </w:r>
      <w:r>
        <w:t xml:space="preserve"> </w:t>
      </w:r>
      <w:r>
        <w:t xml:space="preserve">to connect with litigants, reducing alienation and increasing compliance with verdicts.</w:t>
      </w:r>
    </w:p>
    <w:bookmarkEnd w:id="23"/>
    <w:bookmarkEnd w:id="24"/>
    <w:bookmarkStart w:id="25" w:name="Xacfaab33ab1e8fdc1c44493535cb70b1645a90f"/>
    <w:p>
      <w:pPr>
        <w:pStyle w:val="Heading2"/>
      </w:pPr>
      <w:r>
        <w:t xml:space="preserve">IV. Specific Case Studies and Literary Themes</w:t>
      </w:r>
    </w:p>
    <w:p>
      <w:pPr>
        <w:pStyle w:val="FirstParagraph"/>
      </w:pPr>
      <w:r>
        <w:t xml:space="preserve">In examining various texts that feature legal drama in Kuwait City, several recurring themes emerge regarding the behavior of the</w:t>
      </w:r>
      <w:r>
        <w:t xml:space="preserve"> </w:t>
      </w:r>
      <w:r>
        <w:rPr>
          <w:bCs/>
          <w:b/>
        </w:rPr>
        <w:t xml:space="preserve">Judge</w:t>
      </w:r>
      <w:r>
        <w:t xml:space="preserve">.</w:t>
      </w:r>
    </w:p>
    <w:p>
      <w:pPr>
        <w:numPr>
          <w:ilvl w:val="0"/>
          <w:numId w:val="1001"/>
        </w:numPr>
        <w:pStyle w:val="Compact"/>
      </w:pPr>
      <w:r>
        <w:rPr>
          <w:bCs/>
          <w:b/>
        </w:rPr>
        <w:t xml:space="preserve">The Mediation Process:</w:t>
      </w:r>
      <w:r>
        <w:t xml:space="preserve"> </w:t>
      </w:r>
      <w:r>
        <w:t xml:space="preserve">Many stories highlight that before a formal trial begins, there is often an intensive mediation phase. The Judge frequently encourages parties to settle out of court. This reflects the Kuwaiti cultural aversion to prolonged conflict and the high value placed on preserving relationships.</w:t>
      </w:r>
    </w:p>
    <w:p>
      <w:pPr>
        <w:numPr>
          <w:ilvl w:val="0"/>
          <w:numId w:val="1001"/>
        </w:numPr>
        <w:pStyle w:val="Compact"/>
      </w:pPr>
      <w:r>
        <w:rPr>
          <w:bCs/>
          <w:b/>
        </w:rPr>
        <w:t xml:space="preserve">The Impact of Public Scrutiny:</w:t>
      </w:r>
      <w:r>
        <w:t xml:space="preserve"> </w:t>
      </w:r>
      <w:r>
        <w:t xml:space="preserve">In Kuwait City, a city with a highly literate and politically engaged population, judicial decisions are subject to intense public discussion. The</w:t>
      </w:r>
      <w:r>
        <w:t xml:space="preserve"> </w:t>
      </w:r>
      <w:r>
        <w:rPr>
          <w:bCs/>
          <w:b/>
        </w:rPr>
        <w:t xml:space="preserve">Judge</w:t>
      </w:r>
      <w:r>
        <w:t xml:space="preserve"> </w:t>
      </w:r>
      <w:r>
        <w:t xml:space="preserve">must navigate this scrutiny carefully. A ruling that is perceived as unjust can lead to social unrest or loss of faith in the institution.</w:t>
      </w:r>
    </w:p>
    <w:p>
      <w:pPr>
        <w:numPr>
          <w:ilvl w:val="0"/>
          <w:numId w:val="1001"/>
        </w:numPr>
        <w:pStyle w:val="Compact"/>
      </w:pPr>
      <w:r>
        <w:rPr>
          <w:bCs/>
          <w:b/>
        </w:rPr>
        <w:t xml:space="preserve">National Identity and Law:</w:t>
      </w:r>
      <w:r>
        <w:t xml:space="preserve"> </w:t>
      </w:r>
      <w:r>
        <w:t xml:space="preserve">Recent literary works emphasize how the Judge plays a role in defining Kuwaiti national identity. By enforcing laws that protect local customs while allowing for foreign business interests, the Judge helps balance globalization with local authenticity.</w:t>
      </w:r>
    </w:p>
    <w:bookmarkEnd w:id="25"/>
    <w:bookmarkStart w:id="26" w:name="Xd5a0067c7316b4a0288a717b72c88753e13c94b"/>
    <w:p>
      <w:pPr>
        <w:pStyle w:val="Heading2"/>
      </w:pPr>
      <w:r>
        <w:t xml:space="preserve">V. Challenges Facing the Judiciary in Kuwait City</w:t>
      </w:r>
    </w:p>
    <w:p>
      <w:pPr>
        <w:pStyle w:val="FirstParagraph"/>
      </w:pPr>
      <w:r>
        <w:t xml:space="preserve">The modernization of Kuwait City brings new legal challenges that test the adaptability of the</w:t>
      </w:r>
      <w:r>
        <w:t xml:space="preserve"> </w:t>
      </w:r>
      <w:r>
        <w:rPr>
          <w:bCs/>
          <w:b/>
        </w:rPr>
        <w:t xml:space="preserve">Judge</w:t>
      </w:r>
      <w:r>
        <w:t xml:space="preserve">. Issues such as cybercrime, financial fraud, and complex international commercial disputes require specialized knowledge that goes beyond traditional civil law training. There is a growing pressure to digitize court processes and increase transparency. Furthermore, there is an ongoing dialogue within Kuwait City regarding women's roles in the judiciary. Historically male-dominated, the courts are seeing a gradual shift as more female judges preside over cases, changing the dynamic of how justice is perceived and delivered.</w:t>
      </w:r>
    </w:p>
    <w:bookmarkEnd w:id="26"/>
    <w:bookmarkStart w:id="28" w:name="vi.-conclusion"/>
    <w:p>
      <w:pPr>
        <w:pStyle w:val="Heading2"/>
      </w:pPr>
      <w:r>
        <w:t xml:space="preserve">VI. Conclusion</w:t>
      </w:r>
    </w:p>
    <w:p>
      <w:pPr>
        <w:pStyle w:val="FirstParagraph"/>
      </w:pPr>
      <w:r>
        <w:t xml:space="preserve">The figure of the</w:t>
      </w:r>
      <w:r>
        <w:t xml:space="preserve"> </w:t>
      </w:r>
      <w:r>
        <w:rPr>
          <w:bCs/>
          <w:b/>
        </w:rPr>
        <w:t xml:space="preserve">Judge</w:t>
      </w:r>
      <w:r>
        <w:t xml:space="preserve"> </w:t>
      </w:r>
      <w:r>
        <w:t xml:space="preserve">in Kuwait City is far more than a bureaucratic official applying rules. They are a central pillar in maintaining the delicate balance between tradition and modernity, religious faith and civil order. The legal environment of Kuwait City demands a judge who is intellectually rigorous, culturally sensitive, and spiritually grounded. Literature that explores this theme underscores the human element of justice—the idea that every verdict has a ripple effect on families and communities.</w:t>
      </w:r>
    </w:p>
    <w:p>
      <w:pPr>
        <w:pStyle w:val="BodyText"/>
      </w:pPr>
      <w:r>
        <w:t xml:space="preserve">In conclusion, to understand the judiciary in Kuwait City, one must look beyond the statutes to the soul of society. The</w:t>
      </w:r>
      <w:r>
        <w:t xml:space="preserve"> </w:t>
      </w:r>
      <w:r>
        <w:rPr>
          <w:bCs/>
          <w:b/>
        </w:rPr>
        <w:t xml:space="preserve">Judge</w:t>
      </w:r>
      <w:r>
        <w:t xml:space="preserve"> </w:t>
      </w:r>
      <w:r>
        <w:t xml:space="preserve">serves as the bridge between these realms. Whether handling a simple civil dispute or a complex criminal case, their decisions reflect the hopes and fears of a nation striving to define its place in the modern world while holding fast to its heritage. This report affirms that studying the Judge in Kuwait City is essential for any comprehensive understanding of Gulf legal cultures.</w:t>
      </w:r>
    </w:p>
    <w:p>
      <w:r>
        <w:pict>
          <v:rect style="width:0;height:1.5pt" o:hralign="center" o:hrstd="t" o:hr="t"/>
        </w:pict>
      </w:r>
    </w:p>
    <w:bookmarkStart w:id="27" w:name="vii.-references-and-further-reading"/>
    <w:p>
      <w:pPr>
        <w:pStyle w:val="Heading3"/>
      </w:pPr>
      <w:r>
        <w:t xml:space="preserve">VII. References and Further Reading</w:t>
      </w:r>
    </w:p>
    <w:p>
      <w:pPr>
        <w:numPr>
          <w:ilvl w:val="0"/>
          <w:numId w:val="1002"/>
        </w:numPr>
        <w:pStyle w:val="Compact"/>
      </w:pPr>
      <w:r>
        <w:t xml:space="preserve">The Constitution of the State of Kuwait.</w:t>
      </w:r>
    </w:p>
    <w:p>
      <w:pPr>
        <w:numPr>
          <w:ilvl w:val="0"/>
          <w:numId w:val="1002"/>
        </w:numPr>
        <w:pStyle w:val="Compact"/>
      </w:pPr>
      <w:r>
        <w:t xml:space="preserve">Civil Code of Kuwait (Law No. 43 of 1980).</w:t>
      </w:r>
    </w:p>
    <w:p>
      <w:pPr>
        <w:numPr>
          <w:ilvl w:val="0"/>
          <w:numId w:val="1002"/>
        </w:numPr>
        <w:pStyle w:val="Compact"/>
      </w:pPr>
      <w:r>
        <w:t xml:space="preserve">Analytical studies on the influence of Sharia in Kuwaiti Civil Law.</w:t>
      </w:r>
    </w:p>
    <w:p>
      <w:pPr>
        <w:numPr>
          <w:ilvl w:val="0"/>
          <w:numId w:val="1002"/>
        </w:numPr>
        <w:pStyle w:val="Compact"/>
      </w:pPr>
      <w:r>
        <w:t xml:space="preserve">Literary critiques regarding legal dramas in Arab cinema and literature.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Kuwait City</dc:title>
  <dc:creator/>
  <dc:language>en</dc:language>
  <cp:keywords/>
  <dcterms:created xsi:type="dcterms:W3CDTF">2026-07-29T20:12:00Z</dcterms:created>
  <dcterms:modified xsi:type="dcterms:W3CDTF">2026-07-29T20:12:00Z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