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Legal</w:t>
      </w:r>
      <w:r>
        <w:t xml:space="preserve"> </w:t>
      </w:r>
      <w:r>
        <w:t xml:space="preserve">Landscape</w:t>
      </w:r>
      <w:r>
        <w:t xml:space="preserve"> </w:t>
      </w:r>
      <w:r>
        <w:t xml:space="preserve">of</w:t>
      </w:r>
      <w:r>
        <w:t xml:space="preserve"> </w:t>
      </w:r>
      <w:r>
        <w:t xml:space="preserve">Spain</w:t>
      </w:r>
      <w:r>
        <w:t xml:space="preserve"> </w:t>
      </w:r>
      <w:r>
        <w:t xml:space="preserve">Valencia</w:t>
      </w:r>
    </w:p>
    <w:bookmarkStart w:id="21" w:name="X6193e8ef0da83fc859e97e5c587258ac0ed5ef9"/>
    <w:p>
      <w:pPr>
        <w:pStyle w:val="Heading1"/>
      </w:pPr>
      <w:r>
        <w:t xml:space="preserve">Book Report: The Professional Architecture of Legal Practice in Spain Valencia</w:t>
      </w:r>
    </w:p>
    <w:p>
      <w:pPr>
        <w:pStyle w:val="FirstParagraph"/>
      </w:pPr>
      <w:r>
        <w:rPr>
          <w:bCs/>
          <w:b/>
        </w:rPr>
        <w:t xml:space="preserve">Date:</w:t>
      </w:r>
    </w:p>
    <w:p>
      <w:pPr>
        <w:pStyle w:val="BodyText"/>
      </w:pPr>
      <w:r>
        <w:rPr>
          <w:bCs/>
          <w:b/>
        </w:rPr>
        <w:t xml:space="preserve">Sector Focus:</w:t>
      </w:r>
    </w:p>
    <w:bookmarkStart w:id="20" w:name="i.-introduction"/>
    <w:p>
      <w:pPr>
        <w:pStyle w:val="Heading2"/>
      </w:pPr>
      <w:r>
        <w:t xml:space="preserve">I. Introduction</w:t>
      </w:r>
    </w:p>
    <w:bookmarkEnd w:id="20"/>
    <w:bookmarkEnd w:id="21"/>
    <w:p>
      <w:pPr>
        <w:pStyle w:val="FirstParagraph"/>
      </w:pPr>
      <w:r>
        <w:t xml:space="preserve">The study of the modern legal profession is not merely an academic exercise in jurisprudence; it is a practical guide to understanding how societies regulate conduct, resolve disputes, and uphold justice. This document serves as a comprehensive</w:t>
      </w:r>
      <w:r>
        <w:t xml:space="preserve"> </w:t>
      </w:r>
      <w:r>
        <w:rPr>
          <w:bCs/>
          <w:b/>
        </w:rPr>
        <w:t xml:space="preserve">Book Report</w:t>
      </w:r>
      <w:r>
        <w:t xml:space="preserve"> </w:t>
      </w:r>
      <w:r>
        <w:t xml:space="preserve">on the essential dynamics of being a</w:t>
      </w:r>
      <w:r>
        <w:t xml:space="preserve"> </w:t>
      </w:r>
      <w:r>
        <w:rPr>
          <w:bCs/>
          <w:b/>
        </w:rPr>
        <w:t xml:space="preserve">Lawyer</w:t>
      </w:r>
      <w:r>
        <w:t xml:space="preserve">, with a specific geographic and cultural lens focused on the vibrant region of</w:t>
      </w:r>
      <w:r>
        <w:t xml:space="preserve"> </w:t>
      </w:r>
      <w:r>
        <w:rPr>
          <w:bCs/>
          <w:b/>
        </w:rPr>
        <w:t xml:space="preserve">Spain Valencia. While traditional legal texts often focus on national civil codes or abstract theories, this report adapts those findings to the unique socio-legal ecosystem of Valencia. The objective is to provide a detailed overview that highlights how international standards intersect with local traditions, making it an essential resource for any legal professional operating within or studying the</w:t>
      </w:r>
      <w:r>
        <w:rPr>
          <w:bCs/>
          <w:b/>
        </w:rPr>
        <w:t xml:space="preserve"> </w:t>
      </w:r>
      <w:r>
        <w:rPr>
          <w:bCs/>
          <w:b/>
          <w:bCs/>
          <w:b/>
        </w:rPr>
        <w:t xml:space="preserve">Spain Valencia jurisdiction.</w:t>
      </w:r>
    </w:p>
    <w:bookmarkStart w:id="22" w:name="X1a12a2a39be34686174b83058475e7b41e4b4bb"/>
    <w:p>
      <w:pPr>
        <w:pStyle w:val="Heading2"/>
      </w:pPr>
      <w:r>
        <w:t xml:space="preserve">II. The Role of the Modern Lawyer in a Changing Europe</w:t>
      </w:r>
    </w:p>
    <w:p>
      <w:pPr>
        <w:pStyle w:val="FirstParagraph"/>
      </w:pPr>
      <w:r>
        <w:t xml:space="preserve">In the broader context of European law, the role of a</w:t>
      </w:r>
      <w:r>
        <w:t xml:space="preserve"> </w:t>
      </w:r>
      <w:r>
        <w:rPr>
          <w:bCs/>
          <w:b/>
        </w:rPr>
        <w:t xml:space="preserve">Lawyer</w:t>
      </w:r>
    </w:p>
    <w:p>
      <w:pPr>
        <w:pStyle w:val="BodyText"/>
      </w:pPr>
      <w:r>
        <w:rPr>
          <w:iCs/>
          <w:i/>
        </w:rPr>
        <w:t xml:space="preserve">(Abogado)</w:t>
      </w:r>
    </w:p>
    <w:p>
      <w:pPr>
        <w:pStyle w:val="BodyText"/>
      </w:pPr>
      <w:r>
        <w:t xml:space="preserve"> has evolved significantly over the last two decades. No longer confined to courtroom litigation, today’s legal practitioner must be a multidisciplinary advisor. This report emphasizes that proficiency in statutory law is only the baseline requirement. A successful</w:t>
      </w:r>
      <w:r>
        <w:t xml:space="preserve"> </w:t>
      </w:r>
      <w:r>
        <w:rPr>
          <w:bCs/>
          <w:b/>
        </w:rPr>
        <w:t xml:space="preserve">Lawyer</w:t>
      </w:r>
      <w:r>
        <w:t xml:space="preserve"> must possess diplomatic skills, cultural intelligence, and an understanding of business mechanics. In the context of this</w:t>
      </w:r>
    </w:p>
    <w:p>
      <w:pPr>
        <w:pStyle w:val="BodyText"/>
      </w:pPr>
      <w:r>
        <w:t xml:space="preserve">Book Report, we argue that the modern legal professional acts as a bridge between complex legislative frameworks and everyday human needs. Whether dealing with corporate mergers or family disputes, the lawyer is both a shield for their client’s rights and a sword for their enforcement.</w:t>
      </w:r>
    </w:p>
    <w:p>
      <w:pPr>
        <w:pStyle w:val="BodyText"/>
      </w:pPr>
      <w:r>
        <w:t xml:space="preserve"> This shift is particularly evident in</w:t>
      </w:r>
    </w:p>
    <w:p>
      <w:pPr>
        <w:pStyle w:val="BodyText"/>
      </w:pPr>
      <w:r>
        <w:t xml:space="preserve">Spain Valencia, where the legal landscape is influenced by both Spanish national law and specific regional statutes known as</w:t>
      </w:r>
      <w:r>
        <w:t xml:space="preserve"> </w:t>
      </w:r>
      <w:r>
        <w:rPr>
          <w:iCs/>
          <w:i/>
        </w:rPr>
        <w:t xml:space="preserve">Derecho Foral</w:t>
      </w:r>
      <w:r>
        <w:t xml:space="preserve">. A general understanding of the Spanish Civil Code is insufficient without a deep dive into these local nuances. The report details how Valencian lawyers navigate this dual-layered system, ensuring that their clients benefit from regional protections regarding property rights, inheritance, and agricultural contracts.</w:t>
      </w:r>
    </w:p>
    <w:bookmarkEnd w:id="22"/>
    <w:bookmarkStart w:id="26" w:name="X3e790af30ee9e04584aa93a7f198a48f191b72e"/>
    <w:p>
      <w:pPr>
        <w:pStyle w:val="Heading2"/>
      </w:pPr>
      <w:r>
        <w:t xml:space="preserve">III. Specific Legal Nuances in Spain Valencia</w:t>
      </w:r>
    </w:p>
    <w:p>
      <w:pPr>
        <w:pStyle w:val="FirstParagraph"/>
      </w:pPr>
      <w:r>
        <w:t xml:space="preserve">The heart of this</w:t>
      </w:r>
    </w:p>
    <w:p>
      <w:pPr>
        <w:pStyle w:val="BodyText"/>
      </w:pPr>
      <w:r>
        <w:t xml:space="preserve">Book Report</w:t>
      </w:r>
    </w:p>
    <w:p>
      <w:pPr>
        <w:pStyle w:val="BodyText"/>
      </w:pPr>
      <w:r>
        <w:t xml:space="preserve"> lies in its examination of the unique characteristics defining legal practice in</w:t>
      </w:r>
      <w:r>
        <w:t xml:space="preserve"> </w:t>
      </w:r>
      <w:r>
        <w:rPr>
          <w:bCs/>
          <w:b/>
        </w:rPr>
        <w:t xml:space="preserve">Spain Valencia</w:t>
      </w:r>
      <w:r>
        <w:t xml:space="preserve">. While Madrid serves as the political capital, Valencia remains a crucial economic and judicial hub. The following sections outline key areas where a</w:t>
      </w:r>
      <w:r>
        <w:t xml:space="preserve"> </w:t>
      </w:r>
      <w:r>
        <w:rPr>
          <w:bCs/>
          <w:b/>
        </w:rPr>
        <w:t xml:space="preserve">Lawyer</w:t>
      </w:r>
    </w:p>
    <w:p>
      <w:pPr>
        <w:pStyle w:val="BodyText"/>
      </w:pPr>
      <w:r>
        <w:t xml:space="preserve"> must exhibit specialized knowledge.</w:t>
      </w:r>
    </w:p>
    <w:bookmarkStart w:id="23" w:name="a.-property-law-and-coastal-regulations"/>
    <w:p>
      <w:pPr>
        <w:pStyle w:val="Heading3"/>
      </w:pPr>
      <w:r>
        <w:t xml:space="preserve">A. Property Law and Coastal Regulations</w:t>
      </w:r>
    </w:p>
    <w:p>
      <w:pPr>
        <w:pStyle w:val="FirstParagraph"/>
      </w:pPr>
      <w:r>
        <w:t xml:space="preserve">In</w:t>
      </w:r>
    </w:p>
    <w:p>
      <w:pPr>
        <w:pStyle w:val="BodyText"/>
      </w:pPr>
      <w:r>
        <w:t xml:space="preserve">Spain Valencia, real estate law is a dominant field of practice. The region’s coastline attracts millions of tourists and expatriates annually, creating a high volume of litigation related to property purchases, lease agreements, and ownership disputes. A competent</w:t>
      </w:r>
      <w:r>
        <w:t xml:space="preserve"> </w:t>
      </w:r>
      <w:r>
        <w:rPr>
          <w:bCs/>
          <w:b/>
        </w:rPr>
        <w:t xml:space="preserve">Lawyer</w:t>
      </w:r>
      <w:r>
        <w:t xml:space="preserve"> in this region must be an expert in the "Ley de Suelo" (Land Law) and local zoning regulations. This report highlights several case studies from recent Valencian court rulings where a lack of understanding regarding coastal protection laws resulted in severe penalties for developers. Therefore, legal advice here is not just about contracts; it is about environmental compliance and urban planning regulations specific to the Mediterranean basin.</w:t>
      </w:r>
    </w:p>
    <w:bookmarkEnd w:id="23"/>
    <w:bookmarkStart w:id="24" w:name="b.-agricultural-law-and-water-rights"/>
    <w:p>
      <w:pPr>
        <w:pStyle w:val="Heading3"/>
      </w:pPr>
      <w:r>
        <w:t xml:space="preserve">B. Agricultural Law and Water Rights</w:t>
      </w:r>
    </w:p>
    <w:p>
      <w:pPr>
        <w:pStyle w:val="FirstParagraph"/>
      </w:pPr>
      <w:r>
        <w:t xml:space="preserve">Agriculture remains a pillar of the Valencian economy, particularly in horticulture and citrus production. Consequently, a specialized subset of legal practice has emerged focusing on agricultural law. For any</w:t>
      </w:r>
      <w:r>
        <w:t xml:space="preserve"> </w:t>
      </w:r>
      <w:r>
        <w:rPr>
          <w:bCs/>
          <w:b/>
        </w:rPr>
        <w:t xml:space="preserve">Lawyer</w:t>
      </w:r>
      <w:r>
        <w:t xml:space="preserve"> operating in this sector, knowledge of water rights is paramount. The "Horta" regions rely on intricate water distribution systems governed by local tribunals like the Tribunal de las Aguas (Tribunal of Waters). This ancient institution is a UNESCO Intangible Cultural Heritage site and operates independently of the standard court system for certain disputes. A</w:t>
      </w:r>
    </w:p>
    <w:p>
      <w:pPr>
        <w:pStyle w:val="BodyText"/>
      </w:pPr>
      <w:r>
        <w:t xml:space="preserve">Book Report on this topic must emphasize that ignoring these traditional bodies can lead to catastrophic legal errors. The modern Valencian lawyer must respect and navigate these historical precedents alongside modern civil law.</w:t>
      </w:r>
    </w:p>
    <w:bookmarkEnd w:id="24"/>
    <w:bookmarkStart w:id="25" w:name="c.-taxation-and-corporate-structure"/>
    <w:p>
      <w:pPr>
        <w:pStyle w:val="Heading3"/>
      </w:pPr>
      <w:r>
        <w:t xml:space="preserve">C. Taxation and Corporate Structure</w:t>
      </w:r>
    </w:p>
    <w:p>
      <w:pPr>
        <w:pStyle w:val="FirstParagraph"/>
      </w:pPr>
      <w:r>
        <w:t xml:space="preserve">The autonomous status of the Valencian Community allows for certain fiscal incentives that differ from other regions in Spain. For corporate clients, a</w:t>
      </w:r>
      <w:r>
        <w:t xml:space="preserve"> </w:t>
      </w:r>
      <w:r>
        <w:rPr>
          <w:bCs/>
          <w:b/>
        </w:rPr>
        <w:t xml:space="preserve">Lawyer</w:t>
      </w:r>
      <w:r>
        <w:t xml:space="preserve"> must be adept at advising on regional tax breaks designed to attract investment and foster employment. This report analyzes recent trends in how local law firms structure their advisory services to maximize these benefits while remaining compliant with EU state aid regulations.</w:t>
      </w:r>
    </w:p>
    <w:bookmarkEnd w:id="25"/>
    <w:bookmarkEnd w:id="26"/>
    <w:bookmarkStart w:id="27" w:name="Xc63e5f84555a3927c3d55e5b0948117f1b40ae0"/>
    <w:p>
      <w:pPr>
        <w:pStyle w:val="Heading2"/>
      </w:pPr>
      <w:r>
        <w:t xml:space="preserve">IV. Cultural Competence and Linguistic Diversity</w:t>
      </w:r>
    </w:p>
    <w:p>
      <w:pPr>
        <w:pStyle w:val="FirstParagraph"/>
      </w:pPr>
      <w:r>
        <w:t xml:space="preserve">A critical aspect of this</w:t>
      </w:r>
    </w:p>
    <w:p>
      <w:pPr>
        <w:pStyle w:val="BodyText"/>
      </w:pPr>
      <w:r>
        <w:t xml:space="preserve">Book Report</w:t>
      </w:r>
    </w:p>
    <w:p>
      <w:pPr>
        <w:pStyle w:val="BodyText"/>
      </w:pPr>
      <w:r>
        <w:t xml:space="preserve"> addresses the cultural dimension of legal practice. In Valencia, language is not merely a tool for communication but a marker of identity. The co-official status of the Valencian language (</w:t>
      </w:r>
      <w:r>
        <w:rPr>
          <w:iCs/>
          <w:i/>
        </w:rPr>
        <w:t xml:space="preserve">Català/Valencià</w:t>
      </w:r>
      <w:r>
        <w:t xml:space="preserve">) alongside Spanish means that legal documents, court proceedings, and client consultations often require bilingual proficiency. A</w:t>
      </w:r>
      <w:r>
        <w:t xml:space="preserve"> </w:t>
      </w:r>
      <w:r>
        <w:rPr>
          <w:bCs/>
          <w:b/>
        </w:rPr>
        <w:t xml:space="preserve">Lawyer</w:t>
      </w:r>
      <w:r>
        <w:t xml:space="preserve"> who cannot communicate effectively in the local dialect risks losing trust with clients and misinterpreting subtle nuances in witness testimony. This report argues that linguistic competence is a core competency for any practitioner aiming to serve the people of</w:t>
      </w:r>
    </w:p>
    <w:p>
      <w:pPr>
        <w:pStyle w:val="BodyText"/>
      </w:pPr>
      <w:r>
        <w:t xml:space="preserve">Spain Valencia. It is not just about translation; it is about cultural empathy.</w:t>
      </w:r>
    </w:p>
    <w:bookmarkEnd w:id="27"/>
    <w:bookmarkStart w:id="28" w:name="v.-conclusion-and-recommendations"/>
    <w:p>
      <w:pPr>
        <w:pStyle w:val="Heading2"/>
      </w:pPr>
      <w:r>
        <w:t xml:space="preserve">V. Conclusion and Recommendations</w:t>
      </w:r>
    </w:p>
    <w:p>
      <w:pPr>
        <w:pStyle w:val="FirstParagraph"/>
      </w:pPr>
      <w:r>
        <w:t xml:space="preserve">In conclusion, this</w:t>
      </w:r>
    </w:p>
    <w:p>
      <w:pPr>
        <w:pStyle w:val="BodyText"/>
      </w:pPr>
      <w:r>
        <w:t xml:space="preserve">Book Report</w:t>
      </w:r>
    </w:p>
    <w:p>
      <w:pPr>
        <w:pStyle w:val="BodyText"/>
      </w:pPr>
      <w:r>
        <w:t xml:space="preserve"> demonstrates that the practice of law in</w:t>
      </w:r>
      <w:r>
        <w:t xml:space="preserve"> </w:t>
      </w:r>
      <w:r>
        <w:rPr>
          <w:bCs/>
          <w:b/>
        </w:rPr>
        <w:t xml:space="preserve">Spain Valencia</w:t>
      </w:r>
      <w:r>
        <w:t xml:space="preserve"> is a complex interplay of national statutes, regional traditions, and international obligations. For aspiring or practicing lawyers, success requires more than rote memorization of laws. It demands a holistic approach that includes:</w:t>
      </w:r>
    </w:p>
    <w:p>
      <w:pPr>
        <w:numPr>
          <w:ilvl w:val="0"/>
          <w:numId w:val="1001"/>
        </w:numPr>
        <w:pStyle w:val="Compact"/>
      </w:pPr>
      <w:r>
        <w:rPr>
          <w:bCs/>
          <w:b/>
        </w:rPr>
        <w:t xml:space="preserve">Regional Expertise:</w:t>
      </w:r>
      <w:r>
        <w:t xml:space="preserve"> Mastering the specific</w:t>
      </w:r>
      <w:r>
        <w:t xml:space="preserve"> </w:t>
      </w:r>
      <w:r>
        <w:rPr>
          <w:iCs/>
          <w:i/>
        </w:rPr>
        <w:t xml:space="preserve">Derecho Foral</w:t>
      </w:r>
    </w:p>
    <w:p>
      <w:pPr>
        <w:numPr>
          <w:ilvl w:val="0"/>
          <w:numId w:val="1001"/>
        </w:numPr>
        <w:pStyle w:val="Compact"/>
      </w:pPr>
      <w:r>
        <w:rPr>
          <w:bCs/>
          <w:b/>
        </w:rPr>
        <w:t xml:space="preserve">Cultural Sensitivity:</w:t>
      </w:r>
      <w:r>
        <w:t xml:space="preserve"> Understanding the historical and linguistic context of the region.</w:t>
      </w:r>
    </w:p>
    <w:p>
      <w:pPr>
        <w:numPr>
          <w:ilvl w:val="0"/>
          <w:numId w:val="1001"/>
        </w:numPr>
        <w:pStyle w:val="Compact"/>
      </w:pPr>
      <w:r>
        <w:t xml:space="preserve">**Adaptability:** **: Keeping pace with rapid changes in European and national legislation while respecting local customs like the Tribunal de las Aguas.</w:t>
      </w:r>
    </w:p>
    <w:p>
      <w:pPr>
        <w:pStyle w:val="FirstParagraph"/>
      </w:pPr>
      <w:r>
        <w:t xml:space="preserve">Ultimately, being a</w:t>
      </w:r>
      <w:r>
        <w:t xml:space="preserve"> </w:t>
      </w:r>
      <w:r>
        <w:rPr>
          <w:bCs/>
          <w:b/>
        </w:rPr>
        <w:t xml:space="preserve">Lawyer</w:t>
      </w:r>
      <w:r>
        <w:t xml:space="preserve"> in this region is a privilege that comes with the responsibility to uphold not just the letter of the law, but its spirit within its cultural home. This report serves as a foundational guide for those wishing to navigate these waters successfully.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Legal Landscape of Spain Valencia</dc:title>
  <dc:creator/>
  <dc:language>en</dc:language>
  <cp:keywords/>
  <dcterms:created xsi:type="dcterms:W3CDTF">2026-07-29T09:58:38Z</dcterms:created>
  <dcterms:modified xsi:type="dcterms:W3CDTF">2026-07-29T09:58:38Z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