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Role,</w:t>
      </w:r>
      <w:r>
        <w:t xml:space="preserve"> </w:t>
      </w:r>
      <w:r>
        <w:t xml:space="preserve">Reality,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21" w:name="section"/>
    <w:p>
      <w:pPr>
        <w:pStyle w:val="Heading1"/>
      </w:pPr>
    </w:p>
    <w:bookmarkStart w:id="20" w:name="section-1"/>
    <w:p>
      <w:pPr>
        <w:pStyle w:val="Heading2"/>
      </w:pP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 </w:t>
      </w:r>
    </w:p>
    <w:bookmarkEnd w:id="20"/>
    <w:bookmarkEnd w:id="21"/>
    <w:bookmarkStart w:id="23" w:name="X7b560e8aa81af2ca218382092ef87dc3141afb4"/>
    <w:p>
      <w:pPr>
        <w:pStyle w:val="Heading1"/>
      </w:pPr>
      <w:r>
        <w:t xml:space="preserve">A Comprehensive Book Report: Navigating the Legal Profession in United Kingdom London</w:t>
      </w:r>
    </w:p>
    <w:p>
      <w:pPr>
        <w:pStyle w:val="FirstParagraph"/>
      </w:pPr>
      <w:r>
        <w:t xml:space="preserve">Prepared for Academic Review and Professional Insight</w:t>
      </w:r>
      <w:r>
        <w:br/>
      </w:r>
      <w:r>
        <w:t xml:space="preserve">Focus Region: United Kingdom London</w:t>
      </w:r>
      <w:r>
        <w:br/>
      </w:r>
      <w:r>
        <w:t xml:space="preserve">Subject Specialist Area: The Lawyer and Legal Practice</w:t>
      </w:r>
    </w:p>
    <w:p>
      <w:r>
        <w:pict>
          <v:rect style="width:0;height:1.5pt" o:hralign="center" o:hrstd="t" o:hr="t"/>
        </w:pict>
      </w:r>
    </w:p>
    <w:bookmarkStart w:id="22" w:name="section-2"/>
    <w:p>
      <w:pPr>
        <w:pStyle w:val="Heading3"/>
      </w:pP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 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Role, Reality, and Evolution of the Lawyer in United Kingdom London</dc:title>
  <dc:creator/>
  <dc:language>en</dc:language>
  <cp:keywords/>
  <dcterms:created xsi:type="dcterms:W3CDTF">2026-07-29T18:41:22Z</dcterms:created>
  <dcterms:modified xsi:type="dcterms:W3CDTF">2026-07-29T18:41:22Z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