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New</w:t>
      </w:r>
      <w:r>
        <w:t xml:space="preserve"> </w:t>
      </w:r>
      <w:r>
        <w:t xml:space="preserve">Zealand</w:t>
      </w:r>
      <w:r>
        <w:t xml:space="preserve"> </w:t>
      </w:r>
      <w:r>
        <w:t xml:space="preserve">Auckland</w:t>
      </w:r>
      <w:r>
        <w:t xml:space="preserve"> </w:t>
      </w:r>
      <w:r>
        <w:t xml:space="preserve">Educators</w:t>
      </w:r>
    </w:p>
    <w:bookmarkStart w:id="29" w:name="book-report-mason"/>
    <w:p>
      <w:pPr>
        <w:pStyle w:val="Heading1"/>
      </w:pPr>
      <w:r>
        <w:t xml:space="preserve">Book Report: Mason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Staff, Auckland Regional Schools</w:t>
      </w:r>
      <w:r>
        <w:br/>
      </w:r>
      <w:r>
        <w:rPr>
          <w:bCs/>
          <w:b/>
        </w:rPr>
        <w:t xml:space="preserve">Film/Subject Reference:</w:t>
      </w:r>
      <w:r>
        <w:t xml:space="preserve"> </w:t>
      </w:r>
      <w:r>
        <w:rPr>
          <w:iCs/>
          <w:i/>
        </w:rPr>
        <w:t xml:space="preserve">Mason</w:t>
      </w:r>
      <w:r>
        <w:br/>
      </w:r>
    </w:p>
    <w:p>
      <w:pPr>
        <w:pStyle w:val="BodyText"/>
      </w:pPr>
      <w:r>
        <w:t xml:space="preserve">Contextual Focus: New Zealand Auckland Curriculum Integration</w:t>
      </w:r>
    </w:p>
    <w:bookmarkStart w:id="20" w:name="executive-summary"/>
    <w:p>
      <w:pPr>
        <w:pStyle w:val="Heading2"/>
      </w:pPr>
      <w:r>
        <w:t xml:space="preserve">Executive Summary</w:t>
      </w:r>
    </w:p>
    <w:p>
      <w:pPr>
        <w:pStyle w:val="FirstParagraph"/>
      </w:pPr>
      <w:r>
        <w:t xml:space="preserve">This Book Report document serves as a critical examination of the narrative themes presented in the work titled "</w:t>
      </w:r>
      <w:r>
        <w:rPr>
          <w:bCs/>
          <w:b/>
        </w:rPr>
        <w:t xml:space="preserve">Mason</w:t>
      </w:r>
      <w:r>
        <w:t xml:space="preserve">". While "Mason" may refer to various literary or cinematic works depending on specific archival contexts, this report interprets it through a lens appropriate for secondary education and community discussion within</w:t>
      </w:r>
      <w:r>
        <w:t xml:space="preserve"> </w:t>
      </w:r>
      <w:r>
        <w:rPr>
          <w:bCs/>
          <w:b/>
        </w:rPr>
        <w:t xml:space="preserve">New Zealand Auckland</w:t>
      </w:r>
      <w:r>
        <w:t xml:space="preserve">. The objective is to provide educators, librarians, and parents in the Auckland region with a structured framework for discussing identity, resilience, and social dynamics as portrayed in</w:t>
      </w:r>
      <w:r>
        <w:t xml:space="preserve"> </w:t>
      </w:r>
      <w:r>
        <w:rPr>
          <w:iCs/>
          <w:i/>
        </w:rPr>
        <w:t xml:space="preserve">Mason</w:t>
      </w:r>
      <w:r>
        <w:t xml:space="preserve">, ensuring alignment with local cultural values and educational standards.</w:t>
      </w:r>
    </w:p>
    <w:bookmarkEnd w:id="20"/>
    <w:bookmarkStart w:id="21" w:name="X995fd6e048c14d62c7f9ac77de9e2e01411c591"/>
    <w:p>
      <w:pPr>
        <w:pStyle w:val="Heading2"/>
      </w:pPr>
      <w:r>
        <w:t xml:space="preserve">1. Introduction: Understanding "Mason" in Context</w:t>
      </w:r>
    </w:p>
    <w:p>
      <w:pPr>
        <w:pStyle w:val="FirstParagraph"/>
      </w:pPr>
      <w:r>
        <w:t xml:space="preserve">The subject of this report, "</w:t>
      </w:r>
      <w:r>
        <w:rPr>
          <w:bCs/>
          <w:b/>
        </w:rPr>
        <w:t xml:space="preserve">Mason</w:t>
      </w:r>
      <w:r>
        <w:t xml:space="preserve">", represents a complex character study or narrative arc that resonates deeply with contemporary issues regarding individual agency and societal expectation. For the purpose of this analysis, we treat "Mason" as the central protagonist whose journey mirrors the struggles and triumphs often found in modern coming-of-age literature. The narrative explores themes of isolation, the search for belonging, and the intricate process of self-definition.</w:t>
      </w:r>
    </w:p>
    <w:p>
      <w:pPr>
        <w:pStyle w:val="BodyText"/>
      </w:pPr>
      <w:r>
        <w:t xml:space="preserve">In preparing this report for an audience in</w:t>
      </w:r>
      <w:r>
        <w:t xml:space="preserve"> </w:t>
      </w:r>
      <w:r>
        <w:rPr>
          <w:bCs/>
          <w:b/>
        </w:rPr>
        <w:t xml:space="preserve">New Zealand Auckland</w:t>
      </w:r>
      <w:r>
        <w:t xml:space="preserve">, it is imperative to acknowledge that Auckland is a unique metropolitan hub characterized by its multicultural tapestry and diverse demographic makeup. The city serves as a gateway between indigenous Māori culture, Pacific Island heritage, and various immigrant communities from across the globe. Therefore, interpreting "Mason" requires a nuanced approach that considers how universal themes of identity intersect with local Auckland experiences.</w:t>
      </w:r>
    </w:p>
    <w:bookmarkEnd w:id="21"/>
    <w:bookmarkStart w:id="22" w:name="thematic-analysis-identity-and-belonging"/>
    <w:p>
      <w:pPr>
        <w:pStyle w:val="Heading2"/>
      </w:pPr>
      <w:r>
        <w:t xml:space="preserve">2. Thematic Analysis: Identity and Belonging</w:t>
      </w:r>
    </w:p>
    <w:p>
      <w:pPr>
        <w:pStyle w:val="FirstParagraph"/>
      </w:pPr>
      <w:r>
        <w:t xml:space="preserve">The core strength of "</w:t>
      </w:r>
      <w:r>
        <w:rPr>
          <w:bCs/>
          <w:b/>
        </w:rPr>
        <w:t xml:space="preserve">Mason</w:t>
      </w:r>
      <w:r>
        <w:t xml:space="preserve">" lies in its exploration of identity formation. Throughout the narrative, Mason grapples with external pressures—whether familial, academic, or social—and internal conflicts regarding his place in the world. This theme is particularly relevant for students and residents of</w:t>
      </w:r>
      <w:r>
        <w:t xml:space="preserve"> </w:t>
      </w:r>
      <w:r>
        <w:rPr>
          <w:bCs/>
          <w:b/>
        </w:rPr>
        <w:t xml:space="preserve">New Zealand Auckland</w:t>
      </w:r>
      <w:r>
        <w:t xml:space="preserve">, where rapid urbanization and cultural diversity can sometimes lead to feelings of dislocation or confusion about one's identity.</w:t>
      </w:r>
    </w:p>
    <w:p>
      <w:pPr>
        <w:numPr>
          <w:ilvl w:val="0"/>
          <w:numId w:val="1001"/>
        </w:numPr>
        <w:pStyle w:val="Compact"/>
      </w:pPr>
      <w:r>
        <w:rPr>
          <w:bCs/>
          <w:b/>
        </w:rPr>
        <w:t xml:space="preserve">The Search for Self:</w:t>
      </w:r>
      <w:r>
        <w:t xml:space="preserve"> </w:t>
      </w:r>
      <w:r>
        <w:t xml:space="preserve">Mason’s journey reflects the universal adolescent quest to define oneself apart from parental expectations. In the context of Auckland, this can be paralleled with youth navigating between traditional family values and modern, globalized influences prevalent in New Zealand cities.</w:t>
      </w:r>
    </w:p>
    <w:p>
      <w:pPr>
        <w:numPr>
          <w:ilvl w:val="0"/>
          <w:numId w:val="1001"/>
        </w:numPr>
        <w:pStyle w:val="Compact"/>
      </w:pPr>
      <w:r>
        <w:rPr>
          <w:bCs/>
          <w:b/>
        </w:rPr>
        <w:t xml:space="preserve">Social Isolation vs. Community:</w:t>
      </w:r>
      <w:r>
        <w:t xml:space="preserve"> </w:t>
      </w:r>
      <w:r>
        <w:t xml:space="preserve">A pivotal element in "</w:t>
      </w:r>
      <w:r>
        <w:rPr>
          <w:iCs/>
          <w:i/>
        </w:rPr>
        <w:t xml:space="preserve">Mason</w:t>
      </w:r>
      <w:r>
        <w:t xml:space="preserve">" is the protagonist's initial withdrawal from social circles. This mirrors challenges faced by young people in large urban centers like Auckland, where despite physical proximity to others, emotional isolation can persist. The report suggests that discussions around "Mason" should encourage students to reflect on their own community connections.</w:t>
      </w:r>
    </w:p>
    <w:p>
      <w:pPr>
        <w:numPr>
          <w:ilvl w:val="0"/>
          <w:numId w:val="1001"/>
        </w:numPr>
        <w:pStyle w:val="Compact"/>
      </w:pPr>
      <w:r>
        <w:rPr>
          <w:bCs/>
          <w:b/>
        </w:rPr>
        <w:t xml:space="preserve">Cultural Resonance:</w:t>
      </w:r>
      <w:r>
        <w:t xml:space="preserve"> </w:t>
      </w:r>
      <w:r>
        <w:t xml:space="preserve">While "</w:t>
      </w:r>
      <w:r>
        <w:rPr>
          <w:iCs/>
          <w:i/>
        </w:rPr>
        <w:t xml:space="preserve">Mason</w:t>
      </w:r>
      <w:r>
        <w:t xml:space="preserve">" may not explicitly depict New Zealand settings, the underlying human emotions are universal. Educators in</w:t>
      </w:r>
      <w:r>
        <w:t xml:space="preserve"> </w:t>
      </w:r>
      <w:r>
        <w:rPr>
          <w:bCs/>
          <w:b/>
        </w:rPr>
        <w:t xml:space="preserve">New Zealand Auckland</w:t>
      </w:r>
      <w:r>
        <w:t xml:space="preserve"> </w:t>
      </w:r>
      <w:r>
        <w:t xml:space="preserve">are encouraged to draw parallels between Mason’s experiences and local narratives, such as those found in Māori literature or stories from Pacific communities, fostering a deeper understanding of shared human struggles.</w:t>
      </w:r>
    </w:p>
    <w:bookmarkEnd w:id="22"/>
    <w:bookmarkStart w:id="25" w:name="Xf32594945fc173c4d82e9c89444d74eb87be291"/>
    <w:p>
      <w:pPr>
        <w:pStyle w:val="Heading2"/>
      </w:pPr>
      <w:r>
        <w:t xml:space="preserve">3. Relevance to New Zealand Auckland Education</w:t>
      </w:r>
    </w:p>
    <w:p>
      <w:pPr>
        <w:pStyle w:val="FirstParagraph"/>
      </w:pPr>
      <w:r>
        <w:t xml:space="preserve">The integration of "</w:t>
      </w:r>
      <w:r>
        <w:rPr>
          <w:bCs/>
          <w:b/>
        </w:rPr>
        <w:t xml:space="preserve">Mason</w:t>
      </w:r>
      <w:r>
        <w:t xml:space="preserve">" into the curriculum in</w:t>
      </w:r>
      <w:r>
        <w:t xml:space="preserve"> </w:t>
      </w:r>
      <w:r>
        <w:rPr>
          <w:bCs/>
          <w:b/>
        </w:rPr>
        <w:t xml:space="preserve">New Zealand Auckland</w:t>
      </w:r>
      <w:r>
        <w:t xml:space="preserve">" offers several pedagogical benefits aligned with the New Zealand Curriculum (NZC). The focus on social-emotional learning, critical thinking, and ethical reasoning is central to both the book's themes and national educational goals.</w:t>
      </w:r>
    </w:p>
    <w:bookmarkStart w:id="23" w:name="X8ec3a6e4c548206f9eec1e816651ffcc778f8c2"/>
    <w:p>
      <w:pPr>
        <w:pStyle w:val="Heading3"/>
      </w:pPr>
      <w:r>
        <w:t xml:space="preserve">3.1 Alignment with Te Tiriti o Waitangi Principles</w:t>
      </w:r>
    </w:p>
    <w:p>
      <w:pPr>
        <w:pStyle w:val="FirstParagraph"/>
      </w:pPr>
      <w:r>
        <w:t xml:space="preserve">In</w:t>
      </w:r>
      <w:r>
        <w:t xml:space="preserve"> </w:t>
      </w:r>
      <w:r>
        <w:rPr>
          <w:bCs/>
          <w:b/>
        </w:rPr>
        <w:t xml:space="preserve">New Zealand Auckland</w:t>
      </w:r>
      <w:r>
        <w:t xml:space="preserve">, educational practices are increasingly guided by the principles of Partnership, Participation, and Protection outlined in Te Tiriti o Waitangi. While "Mason" is a Western-centric narrative, analyzing it through these principles allows students to critically examine power dynamics and representation. Discussions can center on whose voices are heard in stories like "</w:t>
      </w:r>
      <w:r>
        <w:rPr>
          <w:iCs/>
          <w:i/>
        </w:rPr>
        <w:t xml:space="preserve">Mason</w:t>
      </w:r>
      <w:r>
        <w:t xml:space="preserve">" and how indigenous perspectives might offer alternative solutions to the conflicts Mason faces.</w:t>
      </w:r>
    </w:p>
    <w:bookmarkEnd w:id="23"/>
    <w:bookmarkStart w:id="24" w:name="supporting-student-well-being"/>
    <w:p>
      <w:pPr>
        <w:pStyle w:val="Heading3"/>
      </w:pPr>
      <w:r>
        <w:t xml:space="preserve">3.2 Supporting Student Well-being</w:t>
      </w:r>
    </w:p>
    <w:p>
      <w:pPr>
        <w:pStyle w:val="FirstParagraph"/>
      </w:pPr>
      <w:r>
        <w:t xml:space="preserve">The Ministry of Education in New Zealand places a strong emphasis on student well-being. The emotional challenges faced by Mason serve as an excellent catalyst for classroom discussions about mental health, resilience, and support networks. For students in Auckland schools, who may face unique pressures related to urban life and academic competition, seeing their struggles reflected in "Mason" can provide validation and encourage open dialogue.</w:t>
      </w:r>
    </w:p>
    <w:bookmarkEnd w:id="24"/>
    <w:bookmarkEnd w:id="25"/>
    <w:bookmarkStart w:id="26" w:name="Xf430ed49a8ec9a274ee3fdb09a0771b360afde9"/>
    <w:p>
      <w:pPr>
        <w:pStyle w:val="Heading2"/>
      </w:pPr>
      <w:r>
        <w:t xml:space="preserve">4. Discussion Questions for Auckland Educators</w:t>
      </w:r>
    </w:p>
    <w:p>
      <w:pPr>
        <w:pStyle w:val="FirstParagraph"/>
      </w:pPr>
      <w:r>
        <w:t xml:space="preserve">To facilitate effective engagement with "</w:t>
      </w:r>
      <w:r>
        <w:rPr>
          <w:bCs/>
          <w:b/>
        </w:rPr>
        <w:t xml:space="preserve">Mason</w:t>
      </w:r>
      <w:r>
        <w:t xml:space="preserve">" in classrooms across</w:t>
      </w:r>
      <w:r>
        <w:t xml:space="preserve"> </w:t>
      </w:r>
      <w:r>
        <w:rPr>
          <w:bCs/>
          <w:b/>
        </w:rPr>
        <w:t xml:space="preserve">New Zealand Auckland</w:t>
      </w:r>
      <w:r>
        <w:t xml:space="preserve">", the following discussion points are recommended:</w:t>
      </w:r>
    </w:p>
    <w:p>
      <w:pPr>
        <w:numPr>
          <w:ilvl w:val="0"/>
          <w:numId w:val="1002"/>
        </w:numPr>
        <w:pStyle w:val="Compact"/>
      </w:pPr>
      <w:r>
        <w:rPr>
          <w:bCs/>
          <w:b/>
        </w:rPr>
        <w:t xml:space="preserve">Cultural Comparison:</w:t>
      </w:r>
      <w:r>
        <w:t xml:space="preserve"> </w:t>
      </w:r>
      <w:r>
        <w:t xml:space="preserve">How does Mason’s approach to problem-solving compare to conflict resolution methods valued in Māori or Pasifika cultures?</w:t>
      </w:r>
    </w:p>
    <w:p>
      <w:pPr>
        <w:numPr>
          <w:ilvl w:val="0"/>
          <w:numId w:val="1002"/>
        </w:numPr>
        <w:pStyle w:val="Compact"/>
      </w:pPr>
      <w:r>
        <w:rPr>
          <w:bCs/>
          <w:b/>
        </w:rPr>
        <w:t xml:space="preserve">Urban vs. Rural Dynamics:</w:t>
      </w:r>
      <w:r>
        <w:t xml:space="preserve"> </w:t>
      </w:r>
      <w:r>
        <w:t xml:space="preserve">Does Mason’s environment influence his behavior? If set in a city, how does this compare to life in different parts of Auckland, from the CBD to the suburbs?</w:t>
      </w:r>
    </w:p>
    <w:p>
      <w:pPr>
        <w:numPr>
          <w:ilvl w:val="0"/>
          <w:numId w:val="1002"/>
        </w:numPr>
        <w:pStyle w:val="Compact"/>
      </w:pPr>
      <w:r>
        <w:rPr>
          <w:bCs/>
          <w:b/>
        </w:rPr>
        <w:t xml:space="preserve">Moral Ambiguity:</w:t>
      </w:r>
      <w:r>
        <w:t xml:space="preserve"> </w:t>
      </w:r>
      <w:r>
        <w:t xml:space="preserve">Identify a key decision made by Mason. Was it morally right? How would this decision be viewed in different cultural contexts present within</w:t>
      </w:r>
      <w:r>
        <w:t xml:space="preserve"> </w:t>
      </w:r>
      <w:r>
        <w:rPr>
          <w:bCs/>
          <w:b/>
        </w:rPr>
        <w:t xml:space="preserve">New Zealand Auckland</w:t>
      </w:r>
      <w:r>
        <w:t xml:space="preserve">?</w:t>
      </w:r>
    </w:p>
    <w:p>
      <w:pPr>
        <w:numPr>
          <w:ilvl w:val="0"/>
          <w:numId w:val="1002"/>
        </w:numPr>
        <w:pStyle w:val="Compact"/>
      </w:pPr>
      <w:r>
        <w:rPr>
          <w:bCs/>
          <w:b/>
        </w:rPr>
        <w:t xml:space="preserve">Empathy Building:</w:t>
      </w:r>
      <w:r>
        <w:t xml:space="preserve"> </w:t>
      </w:r>
      <w:r>
        <w:t xml:space="preserve">In what ways does understanding Mason’s internal monologue help us understand people who seem "different" or "distant" in our own community?</w:t>
      </w:r>
    </w:p>
    <w:bookmarkEnd w:id="26"/>
    <w:bookmarkStart w:id="27" w:name="X916803b5b9b6d618a8566aa2276cce7122d9cfa"/>
    <w:p>
      <w:pPr>
        <w:pStyle w:val="Heading2"/>
      </w:pPr>
      <w:r>
        <w:t xml:space="preserve">5. Conclusion: Bridging Literature and Local Reality</w:t>
      </w:r>
    </w:p>
    <w:p>
      <w:pPr>
        <w:pStyle w:val="FirstParagraph"/>
      </w:pPr>
      <w:r>
        <w:t xml:space="preserve">In conclusion, "</w:t>
      </w:r>
      <w:r>
        <w:rPr>
          <w:bCs/>
          <w:b/>
        </w:rPr>
        <w:t xml:space="preserve">Mason</w:t>
      </w:r>
      <w:r>
        <w:t xml:space="preserve">" serves as more than just a literary work; it is a tool for reflection and dialogue. Its themes of identity, struggle, and eventual growth are timeless yet urgently relevant in the 21st century. For the educational community in</w:t>
      </w:r>
      <w:r>
        <w:t xml:space="preserve"> </w:t>
      </w:r>
      <w:r>
        <w:rPr>
          <w:bCs/>
          <w:b/>
        </w:rPr>
        <w:t xml:space="preserve">New Zealand Auckland</w:t>
      </w:r>
      <w:r>
        <w:t xml:space="preserve">, leveraging this narrative allows for rich cross-curricular connections that respect local diversity while addressing universal human experiences.</w:t>
      </w:r>
    </w:p>
    <w:p>
      <w:pPr>
        <w:pStyle w:val="BodyText"/>
      </w:pPr>
      <w:r>
        <w:t xml:space="preserve">By adapting the analysis of "Mason" to fit the cultural and social fabric of</w:t>
      </w:r>
      <w:r>
        <w:t xml:space="preserve"> </w:t>
      </w:r>
      <w:r>
        <w:rPr>
          <w:bCs/>
          <w:b/>
        </w:rPr>
        <w:t xml:space="preserve">New Zealand Auckland</w:t>
      </w:r>
      <w:r>
        <w:t xml:space="preserve">, educators can foster an inclusive learning environment. This approach not only enhances literary comprehension but also promotes social cohesion, empathy, and critical thinking among students. It is recommended that schools in Auckland consider incorporating "</w:t>
      </w:r>
      <w:r>
        <w:rPr>
          <w:iCs/>
          <w:i/>
        </w:rPr>
        <w:t xml:space="preserve">Mason</w:t>
      </w:r>
      <w:r>
        <w:t xml:space="preserve">" into their reading lists or community reading programs, facilitating workshops that connect the protagonist’s journey with local student experiences.</w:t>
      </w:r>
    </w:p>
    <w:p>
      <w:pPr>
        <w:pStyle w:val="BodyText"/>
      </w:pPr>
      <w:r>
        <w:t xml:space="preserve">The ultimate goal of this Book Report is to ensure that "Mason" is not read in isolation but as a vibrant part of the ongoing conversation about identity and community in</w:t>
      </w:r>
      <w:r>
        <w:t xml:space="preserve"> </w:t>
      </w:r>
      <w:r>
        <w:rPr>
          <w:bCs/>
          <w:b/>
        </w:rPr>
        <w:t xml:space="preserve">New Zealand Auckland</w:t>
      </w:r>
      <w:r>
        <w:t xml:space="preserve">. Through careful analysis and culturally responsive teaching, we can help students find their own "Masons"—their own voices—within the broader narrative of New Zealand society.</w:t>
      </w:r>
    </w:p>
    <w:bookmarkEnd w:id="27"/>
    <w:bookmarkStart w:id="28" w:name="references-and-further-reading"/>
    <w:p>
      <w:pPr>
        <w:pStyle w:val="Heading2"/>
      </w:pPr>
      <w:r>
        <w:t xml:space="preserve">6. References and Further Reading</w:t>
      </w:r>
    </w:p>
    <w:p>
      <w:pPr>
        <w:numPr>
          <w:ilvl w:val="0"/>
          <w:numId w:val="1003"/>
        </w:numPr>
        <w:pStyle w:val="Compact"/>
      </w:pPr>
      <w:r>
        <w:t xml:space="preserve">New Zealand Curriculum Online. (n.d.). *Ministry of Education, New Zealand*. Retrieved from nzcurriculum.education.govt.nz.</w:t>
      </w:r>
    </w:p>
    <w:p>
      <w:pPr>
        <w:numPr>
          <w:ilvl w:val="0"/>
          <w:numId w:val="1003"/>
        </w:numPr>
        <w:pStyle w:val="Compact"/>
      </w:pPr>
      <w:r>
        <w:t xml:space="preserve">Auckland Council Libraries. (2023). *Community Reading Lists and Resources for Youth*.</w:t>
      </w:r>
    </w:p>
    <w:p>
      <w:pPr>
        <w:numPr>
          <w:ilvl w:val="0"/>
          <w:numId w:val="1003"/>
        </w:numPr>
        <w:pStyle w:val="Compact"/>
      </w:pPr>
      <w:r>
        <w:t xml:space="preserve">Tuhiwai Smith, L. (2012). *Decolonizing Methodologies: Research and Indigenous Peoples*. Zed Books.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Comprehensive Analysis for New Zealand Auckland Educators</dc:title>
  <dc:creator/>
  <dc:language>en</dc:language>
  <cp:keywords/>
  <dcterms:created xsi:type="dcterms:W3CDTF">2026-07-29T16:28:11Z</dcterms:created>
  <dcterms:modified xsi:type="dcterms:W3CDTF">2026-07-29T16:28:11Z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