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31" w:name="Xe95cdf53a0d1aaf1330e0063a94ac259ac5e22b"/>
    <w:p>
      <w:pPr>
        <w:pStyle w:val="Heading1"/>
      </w:pPr>
      <w:r>
        <w:t xml:space="preserve">Synthesis Report: The Evolving Role of the Medical Researcher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and Policy Review Board</w:t>
      </w:r>
      <w:r>
        <w:br/>
      </w:r>
      <w:r>
        <w:rPr>
          <w:bCs/>
          <w:b/>
        </w:rPr>
        <w:t xml:space="preserve">Subject:</w:t>
      </w:r>
      <w:r>
        <w:t xml:space="preserve">An Analysis of Clinical Innovation, Epidemiological Challenges, and Institutional Development in the Capital Region</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book report and analytical overview regarding the current state of medical science within Colombia Bogotá. The capital city of Colombia has emerged as a critical hub for healthcare innovation in Latin America, driven by the dedicated efforts of the</w:t>
      </w:r>
      <w:r>
        <w:t xml:space="preserve"> </w:t>
      </w:r>
      <w:r>
        <w:rPr>
          <w:bCs/>
          <w:b/>
        </w:rPr>
        <w:t xml:space="preserve">Medical Researcher</w:t>
      </w:r>
      <w:r>
        <w:t xml:space="preserve">. This report examines how these professionals navigate complex epidemiological landscapes, leverage international collaborations, and address specific health disparities unique to an urban center like</w:t>
      </w:r>
      <w:r>
        <w:t xml:space="preserve"> </w:t>
      </w:r>
      <w:r>
        <w:rPr>
          <w:bCs/>
          <w:b/>
        </w:rPr>
        <w:t xml:space="preserve">Colombia Bogotá</w:t>
      </w:r>
      <w:r>
        <w:t xml:space="preserve">. The synthesis below explores the intersection of academic rigor, public policy, and clinical application.</w:t>
      </w:r>
    </w:p>
    <w:bookmarkEnd w:id="20"/>
    <w:bookmarkStart w:id="21" w:name="Xea584581ae9c930ff1a899894826d521d5ce99c"/>
    <w:p>
      <w:pPr>
        <w:pStyle w:val="Heading2"/>
      </w:pPr>
      <w:r>
        <w:t xml:space="preserve">2. Introduction: The Capital as a Laboratory of Health</w:t>
      </w:r>
    </w:p>
    <w:p>
      <w:pPr>
        <w:pStyle w:val="FirstParagraph"/>
      </w:pPr>
      <w:r>
        <w:rPr>
          <w:bCs/>
          <w:b/>
        </w:rPr>
        <w:t xml:space="preserve">Colombia Bogotá</w:t>
      </w:r>
      <w:r>
        <w:t xml:space="preserve">, situated at an altitude of 2,640 meters above sea level, presents a unique biological and social environment for medical inquiry. It is not merely an administrative capital but a dense metropolis housing over eight million people, creating a complex ecosystem where infectious diseases coexist with the rising tide of non-communicable chronic illnesses. In this context, the role of the</w:t>
      </w:r>
      <w:r>
        <w:t xml:space="preserve"> </w:t>
      </w:r>
      <w:r>
        <w:rPr>
          <w:bCs/>
          <w:b/>
        </w:rPr>
        <w:t xml:space="preserve">Medical Researcher</w:t>
      </w:r>
      <w:r>
        <w:t xml:space="preserve"> </w:t>
      </w:r>
      <w:r>
        <w:t xml:space="preserve">transcends traditional laboratory work; it involves navigating a highly stratified healthcare system and addressing environmental factors that are specific to high-altitude urban living.</w:t>
      </w:r>
    </w:p>
    <w:p>
      <w:pPr>
        <w:pStyle w:val="BodyText"/>
      </w:pPr>
      <w:r>
        <w:t xml:space="preserve">The literature reviewed for this report highlights a significant shift in Bogotá’s medical community. Historically focused on basic clinical care, the city has transitioned toward translational medicine. This shift is largely attributable to increased funding from the Ministry of Health and Protection and partnerships with prestigious institutions such as the National University of Colombia, Pontificia Universidad Javeriana, and various international research centers located within</w:t>
      </w:r>
      <w:r>
        <w:t xml:space="preserve"> </w:t>
      </w:r>
      <w:r>
        <w:rPr>
          <w:bCs/>
          <w:b/>
        </w:rPr>
        <w:t xml:space="preserve">Colombia Bogotá</w:t>
      </w:r>
      <w:r>
        <w:t xml:space="preserve">.</w:t>
      </w:r>
    </w:p>
    <w:bookmarkEnd w:id="21"/>
    <w:bookmarkStart w:id="23" w:name="Xfc6abf08c234ddba708d0e3c06d07deba199809"/>
    <w:p>
      <w:pPr>
        <w:pStyle w:val="Heading2"/>
      </w:pPr>
      <w:r>
        <w:t xml:space="preserve">3. The Profile of the Modern Medical Researcher in Bogotá</w:t>
      </w:r>
    </w:p>
    <w:p>
      <w:pPr>
        <w:pStyle w:val="FirstParagraph"/>
      </w:pPr>
      <w:r>
        <w:t xml:space="preserve">To understand the impact on</w:t>
      </w:r>
      <w:r>
        <w:t xml:space="preserve"> </w:t>
      </w:r>
      <w:r>
        <w:rPr>
          <w:bCs/>
          <w:b/>
        </w:rPr>
        <w:t xml:space="preserve">Colombia Bogotá</w:t>
      </w:r>
      <w:r>
        <w:t xml:space="preserve">, one must first define the contemporary profile of its leading scientists. The modern medical researcher in this region is characterized by multidisciplinary competence and global connectivity.</w:t>
      </w:r>
    </w:p>
    <w:bookmarkStart w:id="22" w:name="key-characteristics"/>
    <w:p>
      <w:pPr>
        <w:pStyle w:val="Heading3"/>
      </w:pPr>
      <w:r>
        <w:t xml:space="preserve">Key Characteristics:</w:t>
      </w:r>
    </w:p>
    <w:p>
      <w:pPr>
        <w:numPr>
          <w:ilvl w:val="0"/>
          <w:numId w:val="1001"/>
        </w:numPr>
        <w:pStyle w:val="Compact"/>
      </w:pPr>
      <w:r>
        <w:rPr>
          <w:bCs/>
          <w:b/>
        </w:rPr>
        <w:t xml:space="preserve">Epidemiological Focus:</w:t>
      </w:r>
      <w:r>
        <w:t xml:space="preserve"> </w:t>
      </w:r>
      <w:r>
        <w:t xml:space="preserve">Many researchers focus on vector-borne diseases (such as Dengue, Zika, and Chikungunya) which are prevalent in the warm climates surrounding the Bogotá basin.</w:t>
      </w:r>
    </w:p>
    <w:p>
      <w:pPr>
        <w:numPr>
          <w:ilvl w:val="0"/>
          <w:numId w:val="1001"/>
        </w:numPr>
        <w:pStyle w:val="Compact"/>
      </w:pPr>
      <w:r>
        <w:rPr>
          <w:bCs/>
          <w:b/>
        </w:rPr>
        <w:t xml:space="preserve">Social Medicine Integration:</w:t>
      </w:r>
      <w:r>
        <w:t xml:space="preserve"> </w:t>
      </w:r>
      <w:r>
        <w:t xml:space="preserve">There is a growing emphasis on "Social Determinants of Health." Researchers in</w:t>
      </w:r>
      <w:r>
        <w:t xml:space="preserve"> </w:t>
      </w:r>
      <w:r>
        <w:rPr>
          <w:bCs/>
          <w:b/>
        </w:rPr>
        <w:t xml:space="preserve">Colombia Bogotá</w:t>
      </w:r>
      <w:r>
        <w:t xml:space="preserve"> </w:t>
      </w:r>
      <w:r>
        <w:t xml:space="preserve">increasingly study how socioeconomic status impacts disease outcomes, particularly among populations in peripheral comunas (neighborhoods).</w:t>
      </w:r>
    </w:p>
    <w:p>
      <w:pPr>
        <w:numPr>
          <w:ilvl w:val="0"/>
          <w:numId w:val="1001"/>
        </w:numPr>
        <w:pStyle w:val="Compact"/>
      </w:pPr>
      <w:r>
        <w:rPr>
          <w:bCs/>
          <w:b/>
        </w:rPr>
        <w:t xml:space="preserve">Tech-Enabled Innovation:</w:t>
      </w:r>
      <w:r>
        <w:t xml:space="preserve">A significant portion of the research output now involves bioinformatics, telemedicine applications, and AI-driven diagnostic tools tailored to local healthcare infrastructure limitations.</w:t>
      </w:r>
    </w:p>
    <w:bookmarkEnd w:id="22"/>
    <w:p>
      <w:pPr>
        <w:pStyle w:val="FirstParagraph"/>
      </w:pPr>
      <w:r>
        <w:t xml:space="preserve">The</w:t>
      </w:r>
      <w:r>
        <w:t xml:space="preserve"> </w:t>
      </w:r>
      <w:r>
        <w:rPr>
          <w:bCs/>
          <w:b/>
        </w:rPr>
        <w:t xml:space="preserve">Medical Researcher</w:t>
      </w:r>
      <w:r>
        <w:t xml:space="preserve"> </w:t>
      </w:r>
      <w:r>
        <w:t xml:space="preserve">in this region often acts as a bridge between policy makers and community health workers. This dual role is essential because data collection in</w:t>
      </w:r>
      <w:r>
        <w:t xml:space="preserve"> </w:t>
      </w:r>
      <w:r>
        <w:rPr>
          <w:bCs/>
          <w:b/>
        </w:rPr>
        <w:t xml:space="preserve">Colombia Bogotá</w:t>
      </w:r>
      <w:r>
        <w:t xml:space="preserve">'s sprawling urban areas requires nuanced cultural understanding, not just statistical accuracy.</w:t>
      </w:r>
    </w:p>
    <w:bookmarkEnd w:id="23"/>
    <w:bookmarkStart w:id="27" w:name="major-research-themes-and-findings"/>
    <w:p>
      <w:pPr>
        <w:pStyle w:val="Heading2"/>
      </w:pPr>
      <w:r>
        <w:t xml:space="preserve">4. Major Research Themes and Findings</w:t>
      </w:r>
    </w:p>
    <w:p>
      <w:pPr>
        <w:pStyle w:val="FirstParagraph"/>
      </w:pPr>
      <w:r>
        <w:t xml:space="preserve">The body of work produced by medical researchers in the region can be categorized into three primary domains:</w:t>
      </w:r>
    </w:p>
    <w:bookmarkStart w:id="24" w:name="infectious-disease-dynamics"/>
    <w:p>
      <w:pPr>
        <w:pStyle w:val="Heading3"/>
      </w:pPr>
      <w:r>
        <w:t xml:space="preserve">4.1. Infectious Disease Dynamics</w:t>
      </w:r>
    </w:p>
    <w:p>
      <w:pPr>
        <w:pStyle w:val="FirstParagraph"/>
      </w:pPr>
      <w:r>
        <w:t xml:space="preserve">Prior to the recent pandemic, research in</w:t>
      </w:r>
      <w:r>
        <w:t xml:space="preserve"> </w:t>
      </w:r>
      <w:r>
        <w:rPr>
          <w:bCs/>
          <w:b/>
        </w:rPr>
        <w:t xml:space="preserve">Colombia Bogotá</w:t>
      </w:r>
      <w:r>
        <w:t xml:space="preserve"> </w:t>
      </w:r>
      <w:r>
        <w:t xml:space="preserve">was heavily focused on tropical diseases. However, the COVID-19 crisis reshaped this landscape significantly. Local researchers played a pivotal role in tracking viral variants and optimizing oxygen therapy protocols for high-altitude physiology. The collaborative networks formed during this period remain active, fostering ongoing research into respiratory health and immunity.</w:t>
      </w:r>
    </w:p>
    <w:bookmarkEnd w:id="24"/>
    <w:bookmarkStart w:id="25" w:name="non-communicable-diseases-ncds"/>
    <w:p>
      <w:pPr>
        <w:pStyle w:val="Heading3"/>
      </w:pPr>
      <w:r>
        <w:t xml:space="preserve">4.2. Non-Communicable Diseases (NCDs)</w:t>
      </w:r>
    </w:p>
    <w:p>
      <w:pPr>
        <w:pStyle w:val="FirstParagraph"/>
      </w:pPr>
      <w:r>
        <w:rPr>
          <w:bCs/>
          <w:b/>
        </w:rPr>
        <w:t xml:space="preserve">Colombia Bogotá</w:t>
      </w:r>
      <w:r>
        <w:t xml:space="preserve">, like many modernizing cities, faces a crisis of NCDs including diabetes, hypertension, and cardiovascular disease. Medical researchers are currently investigating the impact of rapid urbanization and dietary changes on these conditions. Studies have highlighted the correlation between air pollution levels in the capital and respiratory complications, prompting calls for stricter environmental regulations based on empirical data provided by these scientists.</w:t>
      </w:r>
    </w:p>
    <w:bookmarkEnd w:id="25"/>
    <w:bookmarkStart w:id="26" w:name="mental-health-integration"/>
    <w:p>
      <w:pPr>
        <w:pStyle w:val="Heading3"/>
      </w:pPr>
      <w:r>
        <w:t xml:space="preserve">4.3. Mental Health Integration</w:t>
      </w:r>
    </w:p>
    <w:p>
      <w:pPr>
        <w:pStyle w:val="FirstParagraph"/>
      </w:pPr>
      <w:r>
        <w:t xml:space="preserve">A newer but rapidly expanding field of inquiry involves mental health within medical frameworks. Researchers are exploring the psychosomatic links between chronic physical pain and socioeconomic stress in vulnerable populations of</w:t>
      </w:r>
      <w:r>
        <w:t xml:space="preserve"> </w:t>
      </w:r>
      <w:r>
        <w:rPr>
          <w:bCs/>
          <w:b/>
        </w:rPr>
        <w:t xml:space="preserve">Colombia Bogotá</w:t>
      </w:r>
      <w:r>
        <w:t xml:space="preserve">. This holistic approach is crucial for developing effective treatment plans that go beyond pharmacological interventions.</w:t>
      </w:r>
    </w:p>
    <w:bookmarkEnd w:id="26"/>
    <w:bookmarkEnd w:id="27"/>
    <w:bookmarkStart w:id="28" w:name="X92562973611a688f1055dbbc0b2b7d16f99c8b7"/>
    <w:p>
      <w:pPr>
        <w:pStyle w:val="Heading2"/>
      </w:pPr>
      <w:r>
        <w:t xml:space="preserve">5. Institutional Ecosystem and Infrastructure</w:t>
      </w:r>
    </w:p>
    <w:p>
      <w:pPr>
        <w:pStyle w:val="FirstParagraph"/>
      </w:pPr>
      <w:r>
        <w:t xml:space="preserve">The success of the medical researcher depends heavily on the infrastructure available to them. In</w:t>
      </w:r>
      <w:r>
        <w:t xml:space="preserve"> </w:t>
      </w:r>
      <w:r>
        <w:rPr>
          <w:bCs/>
          <w:b/>
        </w:rPr>
        <w:t xml:space="preserve">Colombia Bogotá</w:t>
      </w:r>
      <w:r>
        <w:t xml:space="preserve">, this ecosystem is robust but faces challenges regarding sustainability and equitable resource distribution.</w:t>
      </w:r>
    </w:p>
    <w:p>
      <w:pPr>
        <w:numPr>
          <w:ilvl w:val="0"/>
          <w:numId w:val="1002"/>
        </w:numPr>
        <w:pStyle w:val="Compact"/>
      </w:pPr>
      <w:r>
        <w:rPr>
          <w:bCs/>
          <w:b/>
        </w:rPr>
        <w:t xml:space="preserve">Hospitals as Research Centers:</w:t>
      </w:r>
      <w:r>
        <w:t xml:space="preserve"> </w:t>
      </w:r>
      <w:r>
        <w:t xml:space="preserve">Major hospitals such as Hospital San Ignacio, Hospital Santa Clara, and the National Cancer Institute operate integrated research wings. These facilities allow for direct patient-to-lab translation.</w:t>
      </w:r>
    </w:p>
    <w:p>
      <w:pPr>
        <w:numPr>
          <w:ilvl w:val="0"/>
          <w:numId w:val="1002"/>
        </w:numPr>
        <w:pStyle w:val="Compact"/>
      </w:pPr>
      <w:r>
        <w:rPr>
          <w:bCs/>
          <w:b/>
        </w:rPr>
        <w:t xml:space="preserve">Funding Mechanisms:</w:t>
      </w:r>
      <w:r>
        <w:t xml:space="preserve"> </w:t>
      </w:r>
      <w:r>
        <w:t xml:space="preserve">The government’s Colciencias (now Minciencias) provides vital grants. However, researchers often supplement this with international grants from organizations like the NIH and WHO to ensure continuity of long-term studies.</w:t>
      </w:r>
    </w:p>
    <w:p>
      <w:pPr>
        <w:numPr>
          <w:ilvl w:val="0"/>
          <w:numId w:val="1002"/>
        </w:numPr>
        <w:pStyle w:val="Compact"/>
      </w:pPr>
      <w:r>
        <w:rPr>
          <w:bCs/>
          <w:b/>
        </w:rPr>
        <w:t xml:space="preserve">Ethics Committees:</w:t>
      </w:r>
      <w:r>
        <w:t xml:space="preserve"> </w:t>
      </w:r>
      <w:r>
        <w:t xml:space="preserve">Strict ethical oversight is maintained by institutional review boards within</w:t>
      </w:r>
      <w:r>
        <w:t xml:space="preserve"> </w:t>
      </w:r>
      <w:r>
        <w:rPr>
          <w:bCs/>
          <w:b/>
        </w:rPr>
        <w:t xml:space="preserve">Colombia Bogotá</w:t>
      </w:r>
      <w:r>
        <w:t xml:space="preserve">, ensuring that human subject research adheres to global standards while respecting local cultural norms.</w:t>
      </w:r>
    </w:p>
    <w:bookmarkEnd w:id="28"/>
    <w:bookmarkStart w:id="29" w:name="challenges-and-limitations"/>
    <w:p>
      <w:pPr>
        <w:pStyle w:val="Heading2"/>
      </w:pPr>
      <w:r>
        <w:t xml:space="preserve">6. Challenges and Limitations</w:t>
      </w:r>
    </w:p>
    <w:p>
      <w:pPr>
        <w:pStyle w:val="FirstParagraph"/>
      </w:pPr>
      <w:r>
        <w:t xml:space="preserve">Colombia Bogotá</w:t>
      </w:r>
      <w:r>
        <w:t xml:space="preserve"> </w:t>
      </w:r>
      <w:r>
        <w:t xml:space="preserve">seeking opportunities abroad due to better funding and facilities in Europe or North America. Additionally, bureaucratic inefficiencies can delay the approval of clinical trials.</w:t>
      </w:r>
    </w:p>
    <w:p>
      <w:pPr>
        <w:pStyle w:val="BodyText"/>
      </w:pPr>
      <w:r>
        <w:t xml:space="preserve">Furthermore, there is a disparity between research conducted in elite universities and the healthcare needs of the broader population. Bridging this gap requires researchers to engage more deeply with public health systems (EPS - Entidades Promotoras de Salud) to ensure that their findings translate into accessible treatments for all citizens.</w:t>
      </w:r>
    </w:p>
    <w:bookmarkEnd w:id="29"/>
    <w:bookmarkStart w:id="30" w:name="conclusion-and-recommendations"/>
    <w:p>
      <w:pPr>
        <w:pStyle w:val="Heading2"/>
      </w:pPr>
      <w:r>
        <w:t xml:space="preserve">7. Conclusion and Recommendations</w:t>
      </w:r>
    </w:p>
    <w:p>
      <w:pPr>
        <w:pStyle w:val="FirstParagraph"/>
      </w:pPr>
      <w:r>
        <w:t xml:space="preserve">The synthesis of current literature confirms that the medical researcher is a cornerstone of public health development in</w:t>
      </w:r>
      <w:r>
        <w:t xml:space="preserve"> </w:t>
      </w:r>
      <w:r>
        <w:rPr>
          <w:bCs/>
          <w:b/>
        </w:rPr>
        <w:t xml:space="preserve">Colombia Bogotá</w:t>
      </w:r>
      <w:r>
        <w:t xml:space="preserve">. Their work is not only advancing scientific knowledge but is directly influencing policy, improving patient outcomes, and enhancing the global reputation of Colombian medicine.</w:t>
      </w:r>
    </w:p>
    <w:p>
      <w:pPr>
        <w:pStyle w:val="BodyText"/>
      </w:pPr>
      <w:r>
        <w:rPr>
          <w:bCs/>
          <w:b/>
        </w:rPr>
        <w:t xml:space="preserve">Recommendations:</w:t>
      </w:r>
    </w:p>
    <w:p>
      <w:pPr>
        <w:numPr>
          <w:ilvl w:val="0"/>
          <w:numId w:val="1003"/>
        </w:numPr>
        <w:pStyle w:val="Compact"/>
      </w:pPr>
      <w:r>
        <w:rPr>
          <w:bCs/>
          <w:b/>
        </w:rPr>
        <w:t xml:space="preserve">Increase Local Funding:</w:t>
      </w:r>
      <w:r>
        <w:t xml:space="preserve"> </w:t>
      </w:r>
      <w:r>
        <w:t xml:space="preserve">The government should prioritize domestic funding for medical research to retain talent within Colombia Bogotá.</w:t>
      </w:r>
    </w:p>
    <w:p>
      <w:pPr>
        <w:numPr>
          <w:ilvl w:val="0"/>
          <w:numId w:val="1003"/>
        </w:numPr>
        <w:pStyle w:val="Compact"/>
      </w:pPr>
      <w:r>
        <w:rPr>
          <w:bCs/>
          <w:b/>
        </w:rPr>
        <w:t xml:space="preserve">Promote Inter-institutional Collaboration:</w:t>
      </w:r>
      <w:r>
        <w:t xml:space="preserve"> </w:t>
      </w:r>
      <w:r>
        <w:t xml:space="preserve">Encourage more joint ventures between private hospitals, public universities, and international NGOs to share resources.</w:t>
      </w:r>
    </w:p>
    <w:p>
      <w:pPr>
        <w:numPr>
          <w:ilvl w:val="0"/>
          <w:numId w:val="1003"/>
        </w:numPr>
        <w:pStyle w:val="Compact"/>
      </w:pPr>
      <w:r>
        <w:rPr>
          <w:bCs/>
          <w:b/>
        </w:rPr>
        <w:t xml:space="preserve">Focus on Implementation Science:</w:t>
      </w:r>
      <w:r>
        <w:t xml:space="preserve"> </w:t>
      </w:r>
      <w:r>
        <w:t xml:space="preserve">Future research should focus not just on discovery, but on the practical implementation of these discoveries in low-resource settings within the city.</w:t>
      </w:r>
    </w:p>
    <w:p>
      <w:pPr>
        <w:pStyle w:val="FirstParagraph"/>
      </w:pPr>
      <w:r>
        <w:t xml:space="preserve">In conclusion, by empowering the medical researcher, Colombia Bogotá can continue to serve as a model for health innovation in Latin America. The synergy between academic rigor and community-focused application ensures that medical progress remains inclusive and impactful.</w:t>
      </w:r>
    </w:p>
    <w:p>
      <w:pPr>
        <w:pStyle w:val="BodyText"/>
      </w:pPr>
      <w:r>
        <w:rPr>
          <w:iCs/>
          <w:i/>
        </w:rPr>
        <w:t xml:space="preserve">This report was prepared for educational and informational purposes regarding the healthcare landscape of Colombia Bogotá.</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the Context of Colombia Bogotá</dc:title>
  <dc:creator/>
  <dc:language>en</dc:language>
  <cp:keywords/>
  <dcterms:created xsi:type="dcterms:W3CDTF">2026-07-30T00:35:49Z</dcterms:created>
  <dcterms:modified xsi:type="dcterms:W3CDTF">2026-07-30T00:35:49Z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