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A</w:t>
      </w:r>
      <w:r>
        <w:t xml:space="preserve"> </w:t>
      </w:r>
      <w:r>
        <w:t xml:space="preserve">Comprehensive</w:t>
      </w:r>
      <w:r>
        <w:t xml:space="preserve"> </w:t>
      </w:r>
      <w:r>
        <w:t xml:space="preserve">Analysis</w:t>
      </w:r>
      <w:r>
        <w:t xml:space="preserve"> </w:t>
      </w:r>
      <w:r>
        <w:t xml:space="preserve">for</w:t>
      </w:r>
      <w:r>
        <w:t xml:space="preserve"> </w:t>
      </w:r>
      <w:r>
        <w:t xml:space="preserve">Healthcare</w:t>
      </w:r>
      <w:r>
        <w:t xml:space="preserve"> </w:t>
      </w:r>
      <w:r>
        <w:t xml:space="preserve">Context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Book Report: A Comprehensive Analysis for Healthcare Context in Indonesia Jakarta</dc:title>
  <dc:creator/>
  <dc:language>en</dc:language>
  <cp:keywords/>
  <dcterms:created xsi:type="dcterms:W3CDTF">2026-09-27T11:23:24Z</dcterms:created>
  <dcterms:modified xsi:type="dcterms:W3CDTF">2026-09-27T11:23:24Z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