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7" w:name="Xc85e9fc4fa9ac378751bb8be31edba44740a4d4"/>
    <w:p>
      <w:pPr>
        <w:pStyle w:val="Heading1"/>
      </w:pPr>
      <w:r>
        <w:t xml:space="preserve">Book Report: The Ophthalmologist in the Context of Canada Vancouver</w:t>
      </w:r>
    </w:p>
    <w:p>
      <w:pPr>
        <w:pStyle w:val="FirstParagraph"/>
      </w:pPr>
      <w:r>
        <w:rPr>
          <w:bCs/>
          <w:b/>
        </w:rPr>
        <w:t xml:space="preserve">Title:</w:t>
      </w:r>
      <w:r>
        <w:t xml:space="preserve">The Visionary Care Provider:</w:t>
      </w:r>
      <w:r>
        <w:br/>
      </w:r>
      <w:r>
        <w:t xml:space="preserve">An Analysis of the Role, Ethics, and Practice of the Ophthalmologist in Canada Vancouver</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and-overview"/>
    <w:p>
      <w:pPr>
        <w:pStyle w:val="Heading2"/>
      </w:pPr>
      <w:r>
        <w:t xml:space="preserve">I. Introduction and Overview</w:t>
      </w:r>
    </w:p>
    <w:p>
      <w:pPr>
        <w:pStyle w:val="FirstParagraph"/>
      </w:pPr>
      <w:r>
        <w:t xml:space="preserve">This book report serves as a comprehensive examination of the medical specialty known as the ophthalmologist, specifically analyzed through the lens of public health infrastructure, cultural demographics, and legal frameworks present in Canada Vancouver. While ophthalmology is a universal medical field dealing with the anatomy and physiology of the eye, its practice is not monolithic; it is deeply influenced by regional healthcare systems. This report explores how an ophthalmologist operates within the specific ecosystem of British Columbia’s largest city, Canada Vancouver. The objective is to understand how the traditional definition of an ophthalmologist intersects with Canadian healthcare policies and unique local demographic challenges.</w:t>
      </w:r>
    </w:p>
    <w:p>
      <w:pPr>
        <w:pStyle w:val="BodyText"/>
      </w:pPr>
      <w:r>
        <w:t xml:space="preserve">The text analyzed for this report draws upon various medical textbooks, Canadian Medical Association journals, and public health reports from Health Canada. It synthesizes information to create a holistic view of what it means to practice as an ophthalmologist in a major urban center in Canada Vancouver. The narrative emphasizes that being an ophthalmologist is not merely about surgical precision or optical diagnosis but involves navigating the complex socio-economic landscape of patient care.</w:t>
      </w:r>
    </w:p>
    <w:bookmarkEnd w:id="20"/>
    <w:bookmarkStart w:id="21" w:name="Xae63c1e2e476f0e9e6c281f7886df131f503157"/>
    <w:p>
      <w:pPr>
        <w:pStyle w:val="Heading2"/>
      </w:pPr>
      <w:r>
        <w:t xml:space="preserve">II. The Definition and Scope of the Ophthalmologist</w:t>
      </w:r>
    </w:p>
    <w:p>
      <w:pPr>
        <w:pStyle w:val="FirstParagraph"/>
      </w:pPr>
      <w:r>
        <w:t xml:space="preserve">To begin any analysis, one must define the core subject: the ophthalmologist. Unlike optometrists or ophthalmic technicians, an ophthalmologist is a physician (MD) who has completed specialized training in eye and vision care. They are qualified to perform eye surgery and prescribe corrective lenses. This report highlights that the distinction between an ophthalmologist and other eye care professionals is critical in Canada Vancouver due to the tiered nature of provincial healthcare coverage.</w:t>
      </w:r>
    </w:p>
    <w:p>
      <w:pPr>
        <w:pStyle w:val="BodyText"/>
      </w:pPr>
      <w:r>
        <w:t xml:space="preserve">In many jurisdictions, basic vision tests are covered by government insurance, but specialized surgical interventions require different pathways. The book emphasizes that an ophthalmologist serves as both a primary care provider for complex eye diseases and a surgeon for conditions requiring invasive procedures. This dual role is particularly evident in Canada Vancouver, where access to specialists can be contingent upon referral patterns from general practitioners and the urgency of the patient's condition.</w:t>
      </w:r>
    </w:p>
    <w:bookmarkEnd w:id="21"/>
    <w:bookmarkStart w:id="22" w:name="iii.-the-canadian-healthcare-context"/>
    <w:p>
      <w:pPr>
        <w:pStyle w:val="Heading2"/>
      </w:pPr>
      <w:r>
        <w:t xml:space="preserve">III. The Canadian Healthcare Context</w:t>
      </w:r>
    </w:p>
    <w:p>
      <w:pPr>
        <w:pStyle w:val="FirstParagraph"/>
      </w:pPr>
      <w:r>
        <w:t xml:space="preserve">A significant portion of the literature focuses on how national policies shape local practice. In Canada, healthcare is publicly funded, but the administration varies by province. For an ophthalmologist practicing in Canada Vancouver, this means operating under the medical services commission of British Columbia. The report details how fee-for-service models and direct billing systems work for ophthalmological procedures.</w:t>
      </w:r>
    </w:p>
    <w:p>
      <w:pPr>
        <w:pStyle w:val="BodyText"/>
      </w:pPr>
      <w:r>
        <w:t xml:space="preserve">The text argues that the financial model in Canada Vancouver influences patient-physician interactions. Because basic medical visits are covered, an ophthalmologist often sees a high volume of patients with complex medical needs such as diabetic retinopathy, glaucoma, and macular degeneration. However, cosmetic procedures or certain advanced lens implants may fall outside public coverage, requiring out-of-pocket payment. This economic reality creates a unique dynamic for the ophthalmologist in Canada Vancouver, who must balance ethical obligations with financial realities.</w:t>
      </w:r>
    </w:p>
    <w:bookmarkEnd w:id="22"/>
    <w:bookmarkStart w:id="23" w:name="X41a32f1ccec77b4c8bf2720ebf44ebf47fb325a"/>
    <w:p>
      <w:pPr>
        <w:pStyle w:val="Heading2"/>
      </w:pPr>
      <w:r>
        <w:t xml:space="preserve">IV. Demographic Challenges in Canada Vancouver</w:t>
      </w:r>
    </w:p>
    <w:p>
      <w:pPr>
        <w:pStyle w:val="FirstParagraph"/>
      </w:pPr>
      <w:r>
        <w:t xml:space="preserve">Vancouver is renowned for its diversity, and this diversity directly impacts healthcare delivery. The report analyzes data showing that Canada Vancouver has a significant population of seniors and immigrants from regions with high prevalence rates of specific eye diseases, such as trachoma or cataracts at younger ages. Therefore, an ophthalmologist in this region must possess cultural competence.</w:t>
      </w:r>
    </w:p>
    <w:p>
      <w:pPr>
        <w:pStyle w:val="BodyText"/>
      </w:pPr>
      <w:r>
        <w:t xml:space="preserve">The literature suggests that effective communication is part of the ophthalmologist’s toolkit. In Canada Vancouver, language barriers can impede accurate diagnosis and treatment adherence. Consequently, many clinics employ multilingual staff or utilize translation services as a standard protocol for the ophthalmologist. This adaptation is crucial for maintaining high standards of care and ensuring that patients understand post-operative instructions or medication regimens.</w:t>
      </w:r>
    </w:p>
    <w:bookmarkEnd w:id="23"/>
    <w:bookmarkStart w:id="24" w:name="X3ab40a857ca0b43e3cb3b22ce3ea66887d7424d"/>
    <w:p>
      <w:pPr>
        <w:pStyle w:val="Heading2"/>
      </w:pPr>
      <w:r>
        <w:t xml:space="preserve">V. Ethical Considerations and Patient Rights</w:t>
      </w:r>
    </w:p>
    <w:p>
      <w:pPr>
        <w:pStyle w:val="FirstParagraph"/>
      </w:pPr>
      <w:r>
        <w:t xml:space="preserve">Ethics play a central role in the practice of medicine, particularly in specialized fields like ophthalmology where vision is at stake. The report highlights that an ophthalmologist in Canada Vancouver must adhere to strict privacy laws, including HIPAA equivalents under PIPEDA (Personal Information Protection and Electronic Documents Act). Given the sensitive nature of medical records regarding vision loss and potential disability claims, confidentiality is paramount.</w:t>
      </w:r>
    </w:p>
    <w:p>
      <w:pPr>
        <w:pStyle w:val="BodyText"/>
      </w:pPr>
      <w:r>
        <w:t xml:space="preserve">Furthermore, informed consent is elaborated upon extensively. For an ophthalmologist performing retinal surgery or LASIK in Canada Vancouver, the explanation of risks must be thorough. The literature notes that patients often have high expectations due to media portrayals of surgical success. Managing these expectations while providing truthful medical advice is a key responsibility outlined for the modern ophthalmologist.</w:t>
      </w:r>
    </w:p>
    <w:bookmarkEnd w:id="24"/>
    <w:bookmarkStart w:id="26" w:name="vi.-conclusion"/>
    <w:p>
      <w:pPr>
        <w:pStyle w:val="Heading2"/>
      </w:pPr>
      <w:r>
        <w:t xml:space="preserve">VI. Conclusion</w:t>
      </w:r>
    </w:p>
    <w:p>
      <w:pPr>
        <w:pStyle w:val="FirstParagraph"/>
      </w:pPr>
      <w:r>
        <w:t xml:space="preserve">In conclusion, this book report underscores that the role of the ophthalmologist in Canada Vancouver is multifaceted. It goes beyond clinical skills to include navigational expertise within the Canadian healthcare system, cultural sensitivity toward a diverse population, and rigorous adherence to ethical standards. The ophthalmologist acts as a guardian of sight in a region characterized by rapid urban growth and demographic shifts.</w:t>
      </w:r>
    </w:p>
    <w:p>
      <w:pPr>
        <w:pStyle w:val="BodyText"/>
      </w:pPr>
      <w:r>
        <w:t xml:space="preserve">The analysis confirms that practicing as an ophthalmologist in Canada Vancouver requires adaptability. It is not enough to be technically proficient; one must also understand the systemic constraints and opportunities presented by the local environment. As healthcare evolves, the ophthalmologist will continue to adapt, ensuring that residents of Canada Vancouver receive equitable, high-quality vision care. This document serves as a foundational understanding of these dynamics, providing insight into how global medical standards are localized within a specific Canadian context.</w:t>
      </w:r>
    </w:p>
    <w:p>
      <w:r>
        <w:pict>
          <v:rect style="width:0;height:1.5pt" o:hralign="center" o:hrstd="t" o:hr="t"/>
        </w:pict>
      </w:r>
    </w:p>
    <w:bookmarkStart w:id="25" w:name="references-and-further-reading"/>
    <w:p>
      <w:pPr>
        <w:pStyle w:val="Heading3"/>
      </w:pPr>
      <w:r>
        <w:t xml:space="preserve">References and Further Reading</w:t>
      </w:r>
    </w:p>
    <w:p>
      <w:pPr>
        <w:numPr>
          <w:ilvl w:val="0"/>
          <w:numId w:val="1001"/>
        </w:numPr>
        <w:pStyle w:val="Compact"/>
      </w:pPr>
      <w:r>
        <w:t xml:space="preserve">CMAJ (Canadian Medical Association Journal) - Articles on Ophthalmology Practice Patterns.</w:t>
      </w:r>
    </w:p>
    <w:p>
      <w:pPr>
        <w:numPr>
          <w:ilvl w:val="0"/>
          <w:numId w:val="1001"/>
        </w:numPr>
        <w:pStyle w:val="Compact"/>
      </w:pPr>
      <w:r>
        <w:t xml:space="preserve">Health Canada Reports on Public Health Infrastructure.</w:t>
      </w:r>
    </w:p>
    <w:p>
      <w:pPr>
        <w:numPr>
          <w:ilvl w:val="0"/>
          <w:numId w:val="1001"/>
        </w:numPr>
        <w:pStyle w:val="Compact"/>
      </w:pPr>
      <w:r>
        <w:t xml:space="preserve">British Columbia Medical Services Commission Fee Schedules for Eye Care Providers.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Canada Vancouver</dc:title>
  <dc:creator/>
  <dc:language>en</dc:language>
  <cp:keywords/>
  <dcterms:created xsi:type="dcterms:W3CDTF">2026-07-29T19:37:20Z</dcterms:created>
  <dcterms:modified xsi:type="dcterms:W3CDTF">2026-07-29T19:37:20Z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