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Comprehensive</w:t>
      </w:r>
      <w:r>
        <w:t xml:space="preserve"> </w:t>
      </w:r>
      <w:r>
        <w:t xml:space="preserve">Guide</w:t>
      </w:r>
      <w:r>
        <w:t xml:space="preserve"> </w:t>
      </w:r>
      <w:r>
        <w:t xml:space="preserve">to</w:t>
      </w:r>
      <w:r>
        <w:t xml:space="preserve"> </w:t>
      </w:r>
      <w:r>
        <w:t xml:space="preserve">Orthodontics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9cd71dfe01f586b7463989677b9cb0eaab5a296"/>
    <w:p>
      <w:pPr>
        <w:pStyle w:val="Heading1"/>
      </w:pPr>
      <w:r>
        <w:t xml:space="preserve">Book Report: Strategic and Clinical Perspectives on Orthodontics in Brazil Brasília</w:t>
      </w:r>
    </w:p>
    <w:p>
      <w:pPr>
        <w:pStyle w:val="FirstParagraph"/>
      </w:pPr>
      <w:r>
        <w:t xml:space="preserve">Prepared for the Brazilian Dental Council Regional Chapter Analysis</w:t>
      </w:r>
    </w:p>
    <w:p>
      <w:pPr>
        <w:pStyle w:val="BodyText"/>
      </w:pPr>
      <w:r>
        <w:rPr>
          <w:bCs/>
          <w:b/>
        </w:rPr>
        <w:t xml:space="preserve">Date:</w:t>
      </w:r>
      <w:r>
        <w:t xml:space="preserve"> </w:t>
      </w:r>
      <w:r>
        <w:t xml:space="preserve">October 26, 2023</w:t>
      </w:r>
      <w:r>
        <w:br/>
      </w:r>
      <w:r>
        <w:rPr>
          <w:bCs/>
          <w:b/>
        </w:rPr>
        <w:t xml:space="preserve">Subject:</w:t>
      </w:r>
      <w:r>
        <w:rPr>
          <w:iCs/>
          <w:i/>
        </w:rPr>
        <w:t xml:space="preserve">A synthesis of contemporary orthodontic literature, clinical practices, and socio-economic factors influencing the profession within the Federal District.</w:t>
      </w:r>
    </w:p>
    <w:bookmarkStart w:id="20" w:name="i.-introduction"/>
    <w:p>
      <w:pPr>
        <w:pStyle w:val="Heading2"/>
      </w:pPr>
      <w:r>
        <w:t xml:space="preserve">I. Introduction</w:t>
      </w:r>
    </w:p>
    <w:p>
      <w:pPr>
        <w:pStyle w:val="FirstParagraph"/>
      </w:pPr>
      <w:r>
        <w:t xml:space="preserve">The field of dentistry is dynamic, evolving rapidly with technological advancements and shifting societal needs. However, few specialties have seen as profound a transformation in recent decades as orthodontics. This report serves as a comprehensive analysis of the current landscape surrounding the practice of an</w:t>
      </w:r>
      <w:r>
        <w:t xml:space="preserve"> </w:t>
      </w:r>
      <w:r>
        <w:rPr>
          <w:bCs/>
          <w:b/>
        </w:rPr>
        <w:t xml:space="preserve">Orthodontist</w:t>
      </w:r>
      <w:r>
        <w:t xml:space="preserve">, with a specific geographic and cultural focus on</w:t>
      </w:r>
      <w:r>
        <w:t xml:space="preserve"> </w:t>
      </w:r>
      <w:r>
        <w:rPr>
          <w:bCs/>
          <w:b/>
        </w:rPr>
        <w:t xml:space="preserve">Brazil Brasília</w:t>
      </w:r>
      <w:r>
        <w:t xml:space="preserve">. The Federal District (Distrito Federal) presents a unique paradox in Brazilian dentistry: it is the political capital, housing high-income demographics and advanced medical infrastructure, yet it operates within the broader economic constraints of national healthcare systems. This document explores how these factors influence patient expectations, clinical methodologies, and professional ethics.</w:t>
      </w:r>
    </w:p>
    <w:bookmarkEnd w:id="20"/>
    <w:bookmarkStart w:id="21" w:name="X96ba1c38a61bdfb05e5f94cce5774e23c0f35de"/>
    <w:p>
      <w:pPr>
        <w:pStyle w:val="Heading2"/>
      </w:pPr>
      <w:r>
        <w:t xml:space="preserve">II. The Evolution of Orthodontic Practice</w:t>
      </w:r>
    </w:p>
    <w:p>
      <w:pPr>
        <w:pStyle w:val="FirstParagraph"/>
      </w:pPr>
      <w:r>
        <w:t xml:space="preserve">To understand the modern role of an</w:t>
      </w:r>
      <w:r>
        <w:t xml:space="preserve"> </w:t>
      </w:r>
      <w:r>
        <w:rPr>
          <w:bCs/>
          <w:b/>
        </w:rPr>
        <w:t xml:space="preserve">Orthodontist</w:t>
      </w:r>
      <w:r>
        <w:t xml:space="preserve">, one must first appreciate the historical trajectory from functional appliances to digital invisibility. Traditional braces have given way to clear aligners, lingual brackets, and self-ligating systems. In</w:t>
      </w:r>
      <w:r>
        <w:t xml:space="preserve"> </w:t>
      </w:r>
      <w:r>
        <w:rPr>
          <w:bCs/>
          <w:b/>
        </w:rPr>
        <w:t xml:space="preserve">Brazil Brasília</w:t>
      </w:r>
      <w:r>
        <w:t xml:space="preserve">, this transition has been accelerated by the high concentration of private clinics and aesthetic-driven patient profiles. The capital city acts as a trendsetter for the rest of the country; innovations introduced here often diffuse southward to São Paulo and Rio de Janeiro, or northward to developing states.</w:t>
      </w:r>
    </w:p>
    <w:p>
      <w:pPr>
        <w:pStyle w:val="BodyText"/>
      </w:pPr>
      <w:r>
        <w:t xml:space="preserve">The literature emphasizes that while technology is paramount, diagnosis remains an art. The integration of 3D intraoral scanners and artificial intelligence in treatment planning has reduced chair time but increased the demand for technical proficiency among the</w:t>
      </w:r>
      <w:r>
        <w:t xml:space="preserve"> </w:t>
      </w:r>
      <w:r>
        <w:rPr>
          <w:bCs/>
          <w:b/>
        </w:rPr>
        <w:t xml:space="preserve">Orthodontist</w:t>
      </w:r>
      <w:r>
        <w:t xml:space="preserve">. In a competitive market like Brasília, mastery of these digital workflows is no longer optional but a baseline requirement for clinical relevance.</w:t>
      </w:r>
    </w:p>
    <w:bookmarkEnd w:id="21"/>
    <w:bookmarkStart w:id="24" w:name="X7ebdf808a1ff30d1943a5afcd928bc4397ede25"/>
    <w:p>
      <w:pPr>
        <w:pStyle w:val="Heading2"/>
      </w:pPr>
      <w:r>
        <w:t xml:space="preserve">III. Socio-Economic Dynamics in Brazil Brasília</w:t>
      </w:r>
    </w:p>
    <w:p>
      <w:pPr>
        <w:pStyle w:val="FirstParagraph"/>
      </w:pPr>
      <w:r>
        <w:t xml:space="preserve">The context of</w:t>
      </w:r>
      <w:r>
        <w:t xml:space="preserve"> </w:t>
      </w:r>
      <w:r>
        <w:rPr>
          <w:bCs/>
          <w:b/>
        </w:rPr>
        <w:t xml:space="preserve">Brazil Brasília</w:t>
      </w:r>
      <w:r>
        <w:t xml:space="preserve"> </w:t>
      </w:r>
      <w:r>
        <w:t xml:space="preserve">is defined by its unique urban planning and demographic split. The city comprises two distinct layers: the Plano Piloto (the modernist planned center) and the satellite cities (such as Ceilândia, Taguatinga, and Samambaia). This geographical dichotomy directly impacts how an</w:t>
      </w:r>
      <w:r>
        <w:t xml:space="preserve"> </w:t>
      </w:r>
      <w:r>
        <w:rPr>
          <w:bCs/>
          <w:b/>
        </w:rPr>
        <w:t xml:space="preserve">Orthodontist</w:t>
      </w:r>
      <w:r>
        <w:t xml:space="preserve"> </w:t>
      </w:r>
      <w:r>
        <w:t xml:space="preserve">practices.</w:t>
      </w:r>
    </w:p>
    <w:bookmarkStart w:id="22" w:name="a.-the-private-sector-aesthetic-demand"/>
    <w:p>
      <w:pPr>
        <w:pStyle w:val="Heading3"/>
      </w:pPr>
      <w:r>
        <w:t xml:space="preserve">A. The Private Sector Aesthetic Demand</w:t>
      </w:r>
    </w:p>
    <w:p>
      <w:pPr>
        <w:pStyle w:val="FirstParagraph"/>
      </w:pPr>
      <w:r>
        <w:t xml:space="preserve">In the Plano Piloto and upscale regions like Lago Sul and Lago Norte, the demand for orthodontic treatment is driven largely by aesthetic concerns rather than pure functional necessity. Patients in these areas often seek "invisible" solutions. Consequently, an</w:t>
      </w:r>
      <w:r>
        <w:t xml:space="preserve"> </w:t>
      </w:r>
      <w:r>
        <w:rPr>
          <w:bCs/>
          <w:b/>
        </w:rPr>
        <w:t xml:space="preserve">Orthodontist</w:t>
      </w:r>
      <w:r>
        <w:t xml:space="preserve"> </w:t>
      </w:r>
      <w:r>
        <w:t xml:space="preserve">practicing here must possess strong communication skills to manage expectations regarding social media-driven beauty standards. The literature suggests that in this segment, the psychological aspect of treatment—addressing self-esteem and social perception—is as critical as the biomechanical alignment of teeth.</w:t>
      </w:r>
    </w:p>
    <w:bookmarkEnd w:id="22"/>
    <w:bookmarkStart w:id="23" w:name="b.-public-health-integration"/>
    <w:p>
      <w:pPr>
        <w:pStyle w:val="Heading3"/>
      </w:pPr>
      <w:r>
        <w:t xml:space="preserve">B. Public Health Integration</w:t>
      </w:r>
    </w:p>
    <w:p>
      <w:pPr>
        <w:pStyle w:val="FirstParagraph"/>
      </w:pPr>
      <w:r>
        <w:t xml:space="preserve">Conversely, in the satellite cities and public health units (UBS) managed by the Federal District government, orthodontics plays a vital role in functional rehabilitation. Here, the focus of an</w:t>
      </w:r>
      <w:r>
        <w:t xml:space="preserve"> </w:t>
      </w:r>
      <w:r>
        <w:rPr>
          <w:bCs/>
          <w:b/>
        </w:rPr>
        <w:t xml:space="preserve">Orthodontist</w:t>
      </w:r>
      <w:r>
        <w:t xml:space="preserve">, whether working within SUS (Unified Health System) or private charity clinics, shifts toward treating severe malocclusions that affect breathing, chewing, and speech. The disparity between these two worlds highlights the need for ethical flexibility and social awareness in orthodontic education.</w:t>
      </w:r>
    </w:p>
    <w:bookmarkEnd w:id="23"/>
    <w:bookmarkEnd w:id="24"/>
    <w:bookmarkStart w:id="25" w:name="X142c30b719d552fe81e8441cecae168386210cc"/>
    <w:p>
      <w:pPr>
        <w:pStyle w:val="Heading2"/>
      </w:pPr>
      <w:r>
        <w:t xml:space="preserve">IV. Clinical Challenges and Ethical Considerations</w:t>
      </w:r>
    </w:p>
    <w:p>
      <w:pPr>
        <w:pStyle w:val="FirstParagraph"/>
      </w:pPr>
      <w:r>
        <w:t xml:space="preserve">A significant portion of contemporary literature addresses the ethical responsibilities of the modern practitioner. In a market saturated with direct-to-consumer aligner kits, an accredited</w:t>
      </w:r>
      <w:r>
        <w:t xml:space="preserve"> </w:t>
      </w:r>
      <w:r>
        <w:rPr>
          <w:bCs/>
          <w:b/>
        </w:rPr>
        <w:t xml:space="preserve">Orthodontist</w:t>
      </w:r>
      <w:r>
        <w:t xml:space="preserve">s role as a gatekeeper of oral health is under threat. This is particularly relevant in urban centers like</w:t>
      </w:r>
      <w:r>
        <w:t xml:space="preserve"> </w:t>
      </w:r>
      <w:r>
        <w:rPr>
          <w:bCs/>
          <w:b/>
        </w:rPr>
        <w:t xml:space="preserve">Brazil Brasília</w:t>
      </w:r>
      <w:r>
        <w:t xml:space="preserve">, where access to information is high, but medical literacy varies.</w:t>
      </w:r>
    </w:p>
    <w:p>
      <w:pPr>
        <w:pStyle w:val="BodyText"/>
      </w:pPr>
      <w:r>
        <w:t xml:space="preserve">The report highlights three key ethical pillars:</w:t>
      </w:r>
    </w:p>
    <w:p>
      <w:pPr>
        <w:numPr>
          <w:ilvl w:val="0"/>
          <w:numId w:val="1001"/>
        </w:numPr>
        <w:pStyle w:val="Compact"/>
      </w:pPr>
      <w:r>
        <w:rPr>
          <w:bCs/>
          <w:b/>
        </w:rPr>
        <w:t xml:space="preserve">Digital Literacy vs. Clinical Judgment:</w:t>
      </w:r>
      <w:r>
        <w:t xml:space="preserve"> </w:t>
      </w:r>
      <w:r>
        <w:t xml:space="preserve">Using software does not replace the clinical eye. Over-reliance on automated diagnosis can lead to root resorption or periodontal damage.</w:t>
      </w:r>
    </w:p>
    <w:p>
      <w:pPr>
        <w:numPr>
          <w:ilvl w:val="0"/>
          <w:numId w:val="1001"/>
        </w:numPr>
        <w:pStyle w:val="Compact"/>
      </w:pPr>
      <w:r>
        <w:rPr>
          <w:bCs/>
          <w:b/>
        </w:rPr>
        <w:t xml:space="preserve">Aesthetics vs. Health:</w:t>
      </w:r>
      <w:r>
        <w:t xml:space="preserve"> </w:t>
      </w:r>
      <w:r>
        <w:t xml:space="preserve">The pressure to provide perfect aesthetics must never compromise periodontal health or jaw function.</w:t>
      </w:r>
    </w:p>
    <w:p>
      <w:pPr>
        <w:numPr>
          <w:ilvl w:val="0"/>
          <w:numId w:val="1001"/>
        </w:numPr>
        <w:pStyle w:val="Compact"/>
      </w:pPr>
      <w:r>
        <w:rPr>
          <w:bCs/>
          <w:b/>
        </w:rPr>
        <w:t xml:space="preserve">Social Responsibility:</w:t>
      </w:r>
      <w:r>
        <w:t xml:space="preserve"> </w:t>
      </w:r>
      <w:r>
        <w:t xml:space="preserve">Practitioners in the capital have a duty to engage with community outreach, bridging the gap between elite private care and public need.</w:t>
      </w:r>
    </w:p>
    <w:bookmarkEnd w:id="25"/>
    <w:bookmarkStart w:id="26" w:name="Xe8bf74b1f76fc916e87cbdf6af13e5cdb43657c"/>
    <w:p>
      <w:pPr>
        <w:pStyle w:val="Heading2"/>
      </w:pPr>
      <w:r>
        <w:t xml:space="preserve">V. Technological Integration in the Federal District</w:t>
      </w:r>
    </w:p>
    <w:p>
      <w:pPr>
        <w:pStyle w:val="FirstParagraph"/>
      </w:pPr>
      <w:r>
        <w:t xml:space="preserve">Brazil Brasília is increasingly becoming a hub for dental innovation labs. Local laboratories collaborate closely with university hospitals like the University of Brasília (UnB) to test new materials. For an</w:t>
      </w:r>
      <w:r>
        <w:t xml:space="preserve"> </w:t>
      </w:r>
      <w:r>
        <w:rPr>
          <w:bCs/>
          <w:b/>
        </w:rPr>
        <w:t xml:space="preserve">Orthodontist</w:t>
      </w:r>
      <w:r>
        <w:t xml:space="preserve">, staying abreast of these local innovations provides a competitive edge. The adoption of tele-orthodontics, accelerated during the pandemic, has remained a staple in the region. This allows for remote monitoring in cases where patient convenience is high (as is common with government workers and diplomats residing in Brasília), reducing unnecessary office visits while maintaining treatment adherence.</w:t>
      </w:r>
    </w:p>
    <w:bookmarkEnd w:id="26"/>
    <w:bookmarkStart w:id="27" w:name="vi.-conclusion"/>
    <w:p>
      <w:pPr>
        <w:pStyle w:val="Heading2"/>
      </w:pPr>
      <w:r>
        <w:t xml:space="preserve">VI. Conclusion</w:t>
      </w:r>
    </w:p>
    <w:p>
      <w:pPr>
        <w:pStyle w:val="FirstParagraph"/>
      </w:pPr>
      <w:r>
        <w:t xml:space="preserve">In conclusion, the practice of orthodontics in this specific region requires a multifaceted approach. The modern</w:t>
      </w:r>
      <w:r>
        <w:t xml:space="preserve"> </w:t>
      </w:r>
      <w:r>
        <w:rPr>
          <w:bCs/>
          <w:b/>
        </w:rPr>
        <w:t xml:space="preserve">Orthodontist</w:t>
      </w:r>
      <w:r>
        <w:t xml:space="preserve">s is not merely a technician of tooth movement but a consultant on facial aesthetics, a guardian of periodontal health, and an educator for patients navigating digital misinformation.</w:t>
      </w:r>
    </w:p>
    <w:p>
      <w:pPr>
        <w:pStyle w:val="BodyText"/>
      </w:pPr>
      <w:r>
        <w:t xml:space="preserve">The specific context of</w:t>
      </w:r>
      <w:r>
        <w:t xml:space="preserve"> </w:t>
      </w:r>
      <w:r>
        <w:rPr>
          <w:bCs/>
          <w:b/>
        </w:rPr>
        <w:t xml:space="preserve">Brazil Brasília</w:t>
      </w:r>
      <w:r>
        <w:t xml:space="preserve"> </w:t>
      </w:r>
      <w:r>
        <w:t xml:space="preserve">amplifies these roles due to the sharp contrast between high-end aesthetic demands in the planned areas and functional necessities in the satellite cities. Success in this market depends on clinical excellence, ethical rigor, and a deep understanding of local socio-economic dynamics.</w:t>
      </w:r>
    </w:p>
    <w:p>
      <w:pPr>
        <w:pStyle w:val="BodyText"/>
      </w:pPr>
      <w:r>
        <w:t xml:space="preserve">Future literature should focus more on longitudinal studies within the Federal District population to understand how orthodontic treatment outcomes impact long-term quality of life across different socioeconomic strata. As the profession evolves, the integration of holistic patient care with advanced technology will remain the cornerstone of effective practice in any major metropolitan center, but especially in a capital city like</w:t>
      </w:r>
      <w:r>
        <w:t xml:space="preserve"> </w:t>
      </w:r>
      <w:r>
        <w:rPr>
          <w:bCs/>
          <w:b/>
        </w:rPr>
        <w:t xml:space="preserve">Brazil Brasília</w:t>
      </w:r>
      <w:r>
        <w:t xml:space="preserve">.</w:t>
      </w:r>
    </w:p>
    <w:p>
      <w:pPr>
        <w:pStyle w:val="BodyText"/>
      </w:pPr>
      <w:r>
        <w:rPr>
          <w:iCs/>
          <w:i/>
        </w:rPr>
        <w:t xml:space="preserve">This report underscores that while tools and techniques change, the core mission of an Orthodontist—to improve health and confidence through occlusal harmony—remains constant.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Comprehensive Guide to Orthodontics in the Context of Brazil Brasília</dc:title>
  <dc:creator/>
  <dc:language>en</dc:language>
  <cp:keywords/>
  <dcterms:created xsi:type="dcterms:W3CDTF">2026-07-30T12:31:01Z</dcterms:created>
  <dcterms:modified xsi:type="dcterms:W3CDTF">2026-07-30T12:31:01Z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