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Orthodontics</w:t>
      </w:r>
      <w:r>
        <w:t xml:space="preserve"> </w:t>
      </w:r>
      <w:r>
        <w:t xml:space="preserve">in</w:t>
      </w:r>
      <w:r>
        <w:t xml:space="preserve"> </w:t>
      </w:r>
      <w:r>
        <w:t xml:space="preserve">Myanmar,</w:t>
      </w:r>
      <w:r>
        <w:t xml:space="preserve"> </w:t>
      </w:r>
      <w:r>
        <w:t xml:space="preserve">Yangon</w:t>
      </w:r>
    </w:p>
    <w:bookmarkStart w:id="26" w:name="Xac4c9ce44d82cf63439177bcb11356cfe7e739d"/>
    <w:p>
      <w:pPr>
        <w:pStyle w:val="Heading1"/>
      </w:pPr>
      <w:r>
        <w:t xml:space="preserve">Synthesis of Professional Literature Regarding Orthodontic Standards and Cultural Integration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Dental Board of Reviewers and Interested Stakeholders</w:t>
      </w:r>
      <w:r>
        <w:br/>
      </w:r>
      <w:r>
        <w:rPr>
          <w:bCs/>
          <w:b/>
        </w:rPr>
        <w:t xml:space="preserve">From:</w:t>
      </w:r>
      <w:r>
        <w:t xml:space="preserve"> </w:t>
      </w:r>
      <w:r>
        <w:t xml:space="preserve">Senior Clinical Researcher</w:t>
      </w:r>
      <w:r>
        <w:br/>
      </w:r>
      <w:r>
        <w:rPr>
          <w:bCs/>
          <w:b/>
        </w:rPr>
        <w:t xml:space="preserve">Subject:</w:t>
      </w:r>
      <w:r>
        <w:t xml:space="preserve">A comprehensive analysis of the</w:t>
      </w:r>
      <w:r>
        <w:t xml:space="preserve"> </w:t>
      </w:r>
      <w:r>
        <w:t xml:space="preserve">_Orthodontist_</w:t>
      </w:r>
    </w:p>
    <w:p>
      <w:pPr>
        <w:pStyle w:val="BodyText"/>
      </w:pPr>
      <w:r>
        <w:t xml:space="preserve">_ role within the specific socio-economic and infrastructural context of</w:t>
      </w:r>
    </w:p>
    <w:p>
      <w:pPr>
        <w:pStyle w:val="BodyText"/>
      </w:pPr>
      <w:r>
        <w:t xml:space="preserve">M</w:t>
      </w:r>
    </w:p>
    <w:p>
      <w:pPr>
        <w:pStyle w:val="BodyText"/>
      </w:pPr>
      <w:r>
        <w:t xml:space="preserve">Bakhaan Y</w:t>
      </w:r>
    </w:p>
    <w:p>
      <w:pPr>
        <w:pStyle w:val="BodyText"/>
      </w:pPr>
      <w:r>
        <w:t xml:space="preserve">aungon</w:t>
      </w:r>
    </w:p>
    <w:bookmarkStart w:id="20" w:name="introduction-and-scope-of-analysis"/>
    <w:p>
      <w:pPr>
        <w:pStyle w:val="Heading2"/>
      </w:pPr>
      <w:r>
        <w:t xml:space="preserve">1. Introduction and Scope of Analysis</w:t>
      </w:r>
    </w:p>
    <w:p>
      <w:pPr>
        <w:pStyle w:val="FirstParagraph"/>
      </w:pPr>
      <w:r>
        <w:t xml:space="preserve">The purpose of this document is to serve as a comprehensive Book Report that synthesizes existing literature, clinical guidelines, and professional observations regarding the field of Orthodontics. However, unlike traditional academic reviews that focus solely on biomechanical theories or historical timelines, this report adapts its scope significantly to address the unique realities found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t xml:space="preserve">aungon</w:t>
      </w:r>
    </w:p>
    <w:p>
      <w:pPr>
        <w:pStyle w:val="BodyText"/>
      </w:pPr>
      <w:r>
        <w:t xml:space="preserve">. The term "</w:t>
      </w:r>
    </w:p>
    <w:p>
      <w:pPr>
        <w:pStyle w:val="BodyText"/>
      </w:pPr>
      <w:r>
        <w:rPr>
          <w:iCs/>
          <w:i/>
        </w:rPr>
        <w:t xml:space="preserve">Baokhantaport</w:t>
      </w:r>
      <w:r>
        <w:t xml:space="preserve">" here is interpreted not merely as a summary of a single text, but as an analytical report on the "literature" of practice, including textbooks on orthodontic mechanics, regional health policy documents from</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t xml:space="preserve">aungon</w:t>
      </w:r>
    </w:p>
    <w:p>
      <w:pPr>
        <w:pStyle w:val="BodyText"/>
      </w:pPr>
      <w:r>
        <w:t xml:space="preserve">, and international journals that have recently studied dental practices in Southeast Asia.</w:t>
      </w:r>
      <w:r>
        <w:t xml:space="preserve"> </w:t>
      </w:r>
      <w:r>
        <w:t xml:space="preserve">The central thesis of this analysis is that the role of an</w:t>
      </w:r>
    </w:p>
    <w:p>
      <w:pPr>
        <w:pStyle w:val="BodyText"/>
      </w:pPr>
      <w:r>
        <w:rPr>
          <w:iCs/>
          <w:i/>
        </w:rPr>
        <w:t xml:space="preserve">Baokhantaport</w:t>
      </w:r>
      <w:r>
        <w:t xml:space="preserve">_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t xml:space="preserve">aungon</w:t>
      </w:r>
    </w:p>
    <w:p>
      <w:pPr>
        <w:pStyle w:val="BodyText"/>
      </w:pPr>
      <w:r>
        <w:t xml:space="preserve">cannot be understood through Western-centric models alone. Instead, it requires a hybrid understanding of global orthodontic standards and local patient demographics, economic constraints, and infrastructural limitations.</w:t>
      </w:r>
    </w:p>
    <w:bookmarkEnd w:id="20"/>
    <w:bookmarkStart w:id="21" w:name="Xb4c68fb880a13f2c59bc629626aad421b26d1c3"/>
    <w:p>
      <w:pPr>
        <w:pStyle w:val="Heading2"/>
      </w:pPr>
      <w:r>
        <w:t xml:space="preserve">2. The Changing Face of the Orthodontist in Southeast Asia</w:t>
      </w:r>
    </w:p>
    <w:p>
      <w:pPr>
        <w:pStyle w:val="FirstParagraph"/>
      </w:pPr>
      <w:r>
        <w:t xml:space="preserve">Historically, literature on</w:t>
      </w:r>
    </w:p>
    <w:p>
      <w:pPr>
        <w:pStyle w:val="BodyText"/>
      </w:pPr>
      <w:r>
        <w:rPr>
          <w:iCs/>
          <w:i/>
        </w:rPr>
        <w:t xml:space="preserve">Baokhantaport</w:t>
      </w:r>
      <w:r>
        <w:t xml:space="preserve">_ has focused heavily on aesthetic outcomes and social prestige. In developed nations, orthodontics is often viewed as a cosmetic luxury. However, recent readings regarding dental health in developing economies suggest a paradigm shift.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t xml:space="preserve">aungon</w:t>
      </w:r>
    </w:p>
    <w:p>
      <w:pPr>
        <w:pStyle w:val="BodyText"/>
      </w:pPr>
      <w:r>
        <w:t xml:space="preserve">, the</w:t>
      </w:r>
    </w:p>
    <w:p>
      <w:pPr>
        <w:pStyle w:val="BodyText"/>
      </w:pPr>
      <w:r>
        <w:rPr>
          <w:iCs/>
          <w:i/>
        </w:rPr>
        <w:t xml:space="preserve">Baokhantaport</w:t>
      </w:r>
      <w:r>
        <w:t xml:space="preserve">_ is increasingly viewed as a crucial rehabilitative specialist rather than just an aesthetician.</w:t>
      </w:r>
      <w:r>
        <w:t xml:space="preserve"> </w:t>
      </w:r>
      <w:r>
        <w:t xml:space="preserve">The "Book Report" on current trends indicates that malocclusion in young populations of</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t xml:space="preserve">aungon</w:t>
      </w:r>
    </w:p>
    <w:p>
      <w:pPr>
        <w:pStyle w:val="BodyText"/>
      </w:pPr>
      <w:r>
        <w:t xml:space="preserve">is often linked to early childhood habits, nutritional deficiencies during developmental years, and limited access to preventive pediatric dentistry. Therefore, the modern</w:t>
      </w:r>
      <w:r>
        <w:t xml:space="preserve"> </w:t>
      </w:r>
      <w:r>
        <w:rPr>
          <w:iCs/>
          <w:i/>
          <w:u w:val="single"/>
          <w:iCs/>
          <w:i/>
        </w:rPr>
        <w:t xml:space="preserve">Baokhantaport</w:t>
      </w:r>
      <w:r>
        <w:rPr>
          <w:u w:val="single"/>
          <w:iCs/>
          <w:i/>
        </w:rPr>
        <w:t xml:space="preserve">_ in this region must be proficient not only in bracket placement and aligner therapy but also in interceptive orthodontics. The literature emphasizes that the scope of practice for an</w:t>
      </w:r>
      <w:r>
        <w:rPr>
          <w:u w:val="single"/>
          <w:iCs/>
          <w:i/>
        </w:rPr>
        <w:t xml:space="preserve"> </w:t>
      </w:r>
      <w:r>
        <w:rPr>
          <w:iCs/>
          <w:i/>
          <w:u w:val="single"/>
          <w:iCs/>
          <w:i/>
          <w:u w:val="single"/>
          <w:iCs/>
          <w:i/>
        </w:rPr>
        <w:t xml:space="preserve">Baokhantaport</w:t>
      </w:r>
      <w:r>
        <w:rPr>
          <w:u w:val="single"/>
          <w:iCs/>
          <w:i/>
          <w:u w:val="single"/>
          <w:iCs/>
          <w:i/>
        </w:rPr>
        <w:t xml:space="preserve">_ is expanding to include public health advocacy, aiming to reduce the burden of severe malocclusion before it requires complex surgical intervention.</w:t>
      </w:r>
    </w:p>
    <w:bookmarkEnd w:id="21"/>
    <w:bookmarkStart w:id="22" w:name="Xf9950f2a076688edfe27c2397e2e47c23cc0cbb"/>
    <w:p>
      <w:pPr>
        <w:pStyle w:val="Heading2"/>
      </w:pPr>
      <w:r>
        <w:t xml:space="preserve">3. Infrastructural Realities in Myanmar Yangon</w:t>
      </w:r>
    </w:p>
    <w:p>
      <w:pPr>
        <w:pStyle w:val="FirstParagraph"/>
      </w:pPr>
      <w:r>
        <w:t xml:space="preserve">One of the most critical aspects highlighted in this report is the infrastructural context of</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t xml:space="preserve">aungon</w:t>
      </w:r>
    </w:p>
    <w:p>
      <w:pPr>
        <w:pStyle w:val="BodyText"/>
      </w:pPr>
      <w:r>
        <w:t xml:space="preserve">. The standard textbooks on orthodontics assume a stable power supply, consistent access to high-grade stainless steel wires, and immediate availability of digital imaging technology. These assumptions do not always hold true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t xml:space="preserve">aungon</w:t>
      </w:r>
    </w:p>
    <w:p>
      <w:pPr>
        <w:pStyle w:val="BodyText"/>
      </w:pPr>
      <w:r>
        <w:t xml:space="preserve">.</w:t>
      </w:r>
      <w:r>
        <w:t xml:space="preserve"> </w:t>
      </w:r>
      <w:r>
        <w:t xml:space="preserve">The analysis reveals that successful</w:t>
      </w:r>
    </w:p>
    <w:p>
      <w:pPr>
        <w:pStyle w:val="BodyText"/>
      </w:pPr>
      <w:r>
        <w:rPr>
          <w:iCs/>
          <w:i/>
        </w:rPr>
        <w:t xml:space="preserve">Baokhantaport</w:t>
      </w:r>
      <w:r>
        <w:t xml:space="preserve">_s_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must be resourceful. They often operate with intermittent electricity, which affects the curing times of composite materials and the functioning of autoclaves for sterilization. Consequently, the "Book Report" suggests that training for orthodontists in this region must include modules on low-resource clinical management. The adaptability of an</w:t>
      </w:r>
    </w:p>
    <w:p>
      <w:pPr>
        <w:pStyle w:val="BodyText"/>
      </w:pPr>
      <w:r>
        <w:rPr>
          <w:iCs/>
          <w:i/>
        </w:rPr>
        <w:t xml:space="preserve">Baokhantaport</w:t>
      </w:r>
      <w:r>
        <w:t xml:space="preserve">_ is measured by their ability to maintain hygiene standards and mechanical efficacy despite these challenges. Furthermore, the cost of imported materials is high due to import regulations, forcing</w:t>
      </w:r>
    </w:p>
    <w:p>
      <w:pPr>
        <w:pStyle w:val="BodyText"/>
      </w:pPr>
      <w:r>
        <w:rPr>
          <w:iCs/>
          <w:i/>
        </w:rPr>
        <w:t xml:space="preserve">Baokhantaport</w:t>
      </w:r>
      <w:r>
        <w:t xml:space="preserve">s_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rPr>
          <w:u w:val="single"/>
        </w:rPr>
        <w:t xml:space="preserve">angon to be financially prudent in their material selection without compromising patient safety.</w:t>
      </w:r>
    </w:p>
    <w:bookmarkEnd w:id="22"/>
    <w:bookmarkStart w:id="23" w:name="X3bd3ee88285fd587e5aa9345eecfd449c2288e4"/>
    <w:p>
      <w:pPr>
        <w:pStyle w:val="Heading2"/>
      </w:pPr>
      <w:r>
        <w:t xml:space="preserve">4. Socio-Cultural Dynamics and Patient Education</w:t>
      </w:r>
    </w:p>
    <w:p>
      <w:pPr>
        <w:pStyle w:val="FirstParagraph"/>
      </w:pPr>
      <w:r>
        <w:t xml:space="preserve">Another vital chapter of this report concerns the socio-cultural dynamics of</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In many Western contexts, patient compliance is assumed to be high due to established healthcare literacy.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however, there is a significant educational gap regarding oral health maintenance among the general population.</w:t>
      </w:r>
      <w:r>
        <w:t xml:space="preserve"> </w:t>
      </w:r>
      <w:r>
        <w:t xml:space="preserve">The literature indicates that an effective</w:t>
      </w:r>
    </w:p>
    <w:p>
      <w:pPr>
        <w:pStyle w:val="BodyText"/>
      </w:pPr>
      <w:r>
        <w:rPr>
          <w:iCs/>
          <w:i/>
        </w:rPr>
        <w:t xml:space="preserve">Baokhantaport</w:t>
      </w:r>
      <w:r>
        <w:t xml:space="preserve">_ must also be an educator.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patients may not immediately understand the necessity of wearing elastics or the importance of dietary restrictions during treatment. Therefore, communication styles must be adapted to local cultural norms and language preferences. The "Book Report" highlights that successful practices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utilize visual aids and community-based education campaigns to bridge this knowledge gap. The relationship between the</w:t>
      </w:r>
    </w:p>
    <w:p>
      <w:pPr>
        <w:pStyle w:val="BodyText"/>
      </w:pPr>
      <w:r>
        <w:rPr>
          <w:iCs/>
          <w:i/>
        </w:rPr>
        <w:t xml:space="preserve">Baokhantaport</w:t>
      </w:r>
      <w:r>
        <w:t xml:space="preserve">_ and the patient is often more holistic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rPr>
          <w:u w:val="single"/>
        </w:rPr>
        <w:t xml:space="preserve">angon, involving extended family members in decision-making processes, which differs from the individualistic approach common in other regions.</w:t>
      </w:r>
    </w:p>
    <w:bookmarkEnd w:id="23"/>
    <w:bookmarkStart w:id="24" w:name="economic-accessibility-and-market-trends"/>
    <w:p>
      <w:pPr>
        <w:pStyle w:val="Heading2"/>
      </w:pPr>
      <w:r>
        <w:t xml:space="preserve">5. Economic Accessibility and Market Trends</w:t>
      </w:r>
    </w:p>
    <w:p>
      <w:pPr>
        <w:pStyle w:val="FirstParagraph"/>
      </w:pPr>
      <w:r>
        <w:t xml:space="preserve">The economic landscape of</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presents both challenges and opportunities for orthodontic services. As the middle class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expands, there is a growing demand for aesthetic dental treatments. However, the economic volatility of the region means that long-term treatment plans can be financially burdensome for families.</w:t>
      </w:r>
      <w:r>
        <w:t xml:space="preserve"> </w:t>
      </w:r>
      <w:r>
        <w:t xml:space="preserve">This report argues that the future of</w:t>
      </w:r>
    </w:p>
    <w:p>
      <w:pPr>
        <w:pStyle w:val="BodyText"/>
      </w:pPr>
      <w:r>
        <w:rPr>
          <w:iCs/>
          <w:i/>
        </w:rPr>
        <w:t xml:space="preserve">Baokhantaport</w:t>
      </w:r>
      <w:r>
        <w:t xml:space="preserve">_s_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lies in flexible payment structures and the integration of more affordable treatment modalities, such as self-ligating brackets or clear aligners that may reduce the number of visit frequencies. The literature suggests that clinics operating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are increasingly adopting business models that prioritize volume and accessibility over ultra-premium pricing to remain sustainable. The</w:t>
      </w:r>
    </w:p>
    <w:p>
      <w:pPr>
        <w:pStyle w:val="BodyText"/>
      </w:pPr>
      <w:r>
        <w:rPr>
          <w:iCs/>
          <w:i/>
        </w:rPr>
        <w:t xml:space="preserve">Baokhantaport</w:t>
      </w:r>
      <w:r>
        <w:t xml:space="preserve">_ is thus not only a clinician but also a strategic manager of resources, ensuring that care is accessible to the wider population of</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rPr>
          <w:u w:val="single"/>
        </w:rPr>
        <w:t xml:space="preserve">angon.</w:t>
      </w:r>
    </w:p>
    <w:bookmarkEnd w:id="24"/>
    <w:bookmarkStart w:id="25" w:name="conclusion-and-future-directions"/>
    <w:p>
      <w:pPr>
        <w:pStyle w:val="Heading2"/>
      </w:pPr>
      <w:r>
        <w:t xml:space="preserve">6. Conclusion and Future Directions</w:t>
      </w:r>
    </w:p>
    <w:p>
      <w:pPr>
        <w:pStyle w:val="FirstParagraph"/>
      </w:pPr>
      <w:r>
        <w:t xml:space="preserve">In conclusion, this Book Report on the role of the</w:t>
      </w:r>
    </w:p>
    <w:p>
      <w:pPr>
        <w:pStyle w:val="BodyText"/>
      </w:pPr>
      <w:r>
        <w:rPr>
          <w:iCs/>
          <w:i/>
        </w:rPr>
        <w:t xml:space="preserve">Baokhantaport</w:t>
      </w:r>
      <w:r>
        <w:t xml:space="preserve">_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underscores that orthodontics is a dynamic field deeply influenced by local context. The ideal practitioner in this region is a hybrid professional: technically competent according to international standards, yet culturally sensitive and economically adaptable to the realities of</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w:t>
      </w:r>
      <w:r>
        <w:t xml:space="preserve"> </w:t>
      </w:r>
      <w:r>
        <w:t xml:space="preserve">The literature reviewed clearly indicates that while the tools may be global, the application must be local. For students and professionals aspiring to practice as an</w:t>
      </w:r>
    </w:p>
    <w:p>
      <w:pPr>
        <w:pStyle w:val="BodyText"/>
      </w:pPr>
      <w:r>
        <w:rPr>
          <w:iCs/>
          <w:i/>
        </w:rPr>
        <w:t xml:space="preserve">Baokhantaport</w:t>
      </w:r>
      <w:r>
        <w:t xml:space="preserve">_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it is imperative to look beyond standard textbooks. One must engage with the specific health policies, economic constraints, and cultural nuances of</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By doing so, they can provide care that is not only clinically excellent but also socially responsible and sustainable. The future of orthodontics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p>
    <w:p>
      <w:pPr>
        <w:pStyle w:val="BodyText"/>
      </w:pPr>
      <w:r>
        <w:t xml:space="preserve">angon depends on practitioners who can bridge the gap between global best practices and local needs, ensuring that every individual in</w:t>
      </w:r>
    </w:p>
    <w:p>
      <w:pPr>
        <w:pStyle w:val="BodyText"/>
      </w:pPr>
      <w:r>
        <w:t xml:space="preserve">M</w:t>
      </w:r>
    </w:p>
    <w:p>
      <w:pPr>
        <w:pStyle w:val="BodyText"/>
      </w:pPr>
      <w:r>
        <w:t xml:space="preserve">i</w:t>
      </w:r>
    </w:p>
    <w:p>
      <w:pPr>
        <w:pStyle w:val="BodyText"/>
      </w:pPr>
      <w:r>
        <w:t xml:space="preserve">anm</w:t>
      </w:r>
    </w:p>
    <w:p>
      <w:pPr>
        <w:pStyle w:val="BodyText"/>
      </w:pPr>
      <w:r>
        <w:t xml:space="preserve">a</w:t>
      </w:r>
      <w:r>
        <w:t xml:space="preserve">r Y</w:t>
      </w:r>
      <w:r>
        <w:rPr>
          <w:u w:val="single"/>
        </w:rPr>
        <w:t xml:space="preserve">angon has access to healthy, functional, and beautiful smiles.</w:t>
      </w:r>
    </w:p>
    <w:p>
      <w:pPr>
        <w:pStyle w:val="BodyText"/>
      </w:pPr>
      <w:r>
        <w:rPr>
          <w:iCs/>
          <w:i/>
        </w:rPr>
        <w:t xml:space="preserve">This report serves as a foundational document for further research into regional dental health standards and is intended to guide educational curricula for future orthodontists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Orthodontics in Myanmar, Yangon</dc:title>
  <dc:creator/>
  <cp:keywords/>
  <dcterms:created xsi:type="dcterms:W3CDTF">2026-07-29T16:01:37Z</dcterms:created>
  <dcterms:modified xsi:type="dcterms:W3CDTF">2026-07-29T16:01:37Z</dcterms:modified>
</cp:coreProperties>
</file>

<file path=docProps/custom.xml><?xml version="1.0" encoding="utf-8"?>
<Properties xmlns="http://schemas.openxmlformats.org/officeDocument/2006/custom-properties" xmlns:vt="http://schemas.openxmlformats.org/officeDocument/2006/docPropsVTypes"/>
</file>