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Pharmacist</w:t>
      </w:r>
      <w:r>
        <w:t xml:space="preserve"> </w:t>
      </w:r>
      <w:r>
        <w:t xml:space="preserve">in</w:t>
      </w:r>
      <w:r>
        <w:t xml:space="preserve"> </w:t>
      </w:r>
      <w:r>
        <w:t xml:space="preserve">Germany</w:t>
      </w:r>
      <w:r>
        <w:t xml:space="preserve"> </w:t>
      </w:r>
      <w:r>
        <w:t xml:space="preserve">Frankfurt</w:t>
      </w:r>
    </w:p>
    <w:bookmarkStart w:id="26" w:name="X506f733ac3707a900cf056e6e332e775bc8fd9d"/>
    <w:p>
      <w:pPr>
        <w:pStyle w:val="Heading1"/>
      </w:pPr>
      <w:r>
        <w:t xml:space="preserve">Professional Synthesis and Role Analysis: The Pharmacist in Germany Frankfurt</w:t>
      </w:r>
    </w:p>
    <w:p>
      <w:pPr>
        <w:pStyle w:val="FirstParagraph"/>
      </w:pPr>
      <w:r>
        <w:rPr>
          <w:bCs/>
          <w:b/>
        </w:rPr>
        <w:t xml:space="preserve">Date:</w:t>
      </w:r>
      <w:r>
        <w:t xml:space="preserve"> </w:t>
      </w:r>
      <w:r>
        <w:t xml:space="preserve">May 24, 2024</w:t>
      </w:r>
      <w:r>
        <w:br/>
      </w:r>
      <w:r>
        <w:rPr>
          <w:bCs/>
          <w:b/>
        </w:rPr>
        <w:t xml:space="preserve">To:</w:t>
      </w:r>
      <w:r>
        <w:t xml:space="preserve"> </w:t>
      </w:r>
      <w:r>
        <w:t xml:space="preserve">Healthcare Administration Review Board</w:t>
      </w:r>
      <w:r>
        <w:br/>
      </w:r>
      <w:r>
        <w:t xml:space="preserve">: Medical Literature Review Committee</w:t>
      </w:r>
    </w:p>
    <w:bookmarkStart w:id="20" w:name="preface-and-contextual-overview"/>
    <w:p>
      <w:pPr>
        <w:pStyle w:val="Heading2"/>
      </w:pPr>
      <w:r>
        <w:t xml:space="preserve">Preface and Contextual Overview</w:t>
      </w:r>
    </w:p>
    <w:p>
      <w:pPr>
        <w:pStyle w:val="FirstParagraph"/>
      </w:pPr>
      <w:r>
        <w:t xml:space="preserve">This document serves as a comprehensive</w:t>
      </w:r>
      <w:r>
        <w:t xml:space="preserve"> </w:t>
      </w:r>
      <w:r>
        <w:t xml:space="preserve">Book Report</w:t>
      </w:r>
      <w:r>
        <w:t xml:space="preserve"> </w:t>
      </w:r>
      <w:r>
        <w:t xml:space="preserve">synthesizing current medical literature, regulatory frameworks, and sociological studies regarding the profession of pharmacy. The primary focus of this analysis is the unique operational landscape found within</w:t>
      </w:r>
      <w:r>
        <w:t xml:space="preserve"> </w:t>
      </w:r>
      <w:r>
        <w:t xml:space="preserve">Germany Frankfurt</w:t>
      </w:r>
      <w:r>
        <w:t xml:space="preserve">. While general pharmacological principles are universal, the specific legal, cultural, and economic environment of Frankfurt am Main presents distinct challenges and opportunities for healthcare professionals. This report aims to elucidate how a</w:t>
      </w:r>
      <w:r>
        <w:t xml:space="preserve"> </w:t>
      </w:r>
      <w:r>
        <w:t xml:space="preserve">Pharmacist</w:t>
      </w:r>
      <w:r>
        <w:t xml:space="preserve"> </w:t>
      </w:r>
      <w:r>
        <w:t xml:space="preserve">functions not merely as a dispenser of medication, but as a critical pillar of public health infrastructure in one of Europe’s most densely populated medical hubs.</w:t>
      </w:r>
    </w:p>
    <w:bookmarkEnd w:id="20"/>
    <w:bookmarkStart w:id="21" w:name="X680a6cd8d06c0fe45c3930f88145c0fc46493f6"/>
    <w:p>
      <w:pPr>
        <w:pStyle w:val="Heading2"/>
      </w:pPr>
      <w:r>
        <w:t xml:space="preserve">The Legal and Regulatory Framework in Germany Frankfurt</w:t>
      </w:r>
    </w:p>
    <w:p>
      <w:pPr>
        <w:pStyle w:val="FirstParagraph"/>
      </w:pPr>
      <w:r>
        <w:t xml:space="preserve">To understand the role of the</w:t>
      </w:r>
      <w:r>
        <w:t xml:space="preserve"> </w:t>
      </w:r>
      <w:r>
        <w:t xml:space="preserve">Pharmacist</w:t>
      </w:r>
      <w:r>
        <w:t xml:space="preserve"> </w:t>
      </w:r>
      <w:r>
        <w:t xml:space="preserve">in this specific region, one must first acknowledge the rigorous statutory environment governed by German law, specifically the Arzneimittelgesetz (Drug Act) and Apothekenbetriebsordnung (Pharmacy Operations Ordinance). In</w:t>
      </w:r>
      <w:r>
        <w:t xml:space="preserve"> </w:t>
      </w:r>
      <w:r>
        <w:t xml:space="preserve">Germany Frankfurt</w:t>
      </w:r>
      <w:r>
        <w:t xml:space="preserve">, these laws are enforced with precision. Unlike in some other jurisdictions where retail pharmacies operate with minimal restrictions on ownership, the German system historically maintains strict zoning and ownership requirements to ensure equitable access to medication across urban and rural areas.</w:t>
      </w:r>
    </w:p>
    <w:p>
      <w:pPr>
        <w:pStyle w:val="BodyText"/>
      </w:pPr>
      <w:r>
        <w:t xml:space="preserve">The literature indicates that pharmacists in Frankfurt must navigate a complex web of compliance measures. This includes strict inventory management, temperature-controlled storage protocols for biologic medications common in modern oncology treatments, and meticulous record-keeping regarding controlled substances. For the</w:t>
      </w:r>
      <w:r>
        <w:t xml:space="preserve"> </w:t>
      </w:r>
      <w:r>
        <w:t xml:space="preserve">Pharmacist</w:t>
      </w:r>
      <w:r>
        <w:t xml:space="preserve">, this translates to a daily workload that is as much administrative and legalistic as it is clinical. The concentration of hospitals in Frankfurt, including the renowned University Hospital (Universitätsklinikum), further raises the bar for pharmaceutical care standards, requiring pharmacists to be adept at sterile compounding and inter-departmental communication.</w:t>
      </w:r>
    </w:p>
    <w:bookmarkEnd w:id="21"/>
    <w:bookmarkStart w:id="24" w:name="clinical-services-and-patient-counseling"/>
    <w:p>
      <w:pPr>
        <w:pStyle w:val="Heading2"/>
      </w:pPr>
      <w:r>
        <w:t xml:space="preserve">Clinical Services and Patient Counseling</w:t>
      </w:r>
    </w:p>
    <w:p>
      <w:pPr>
        <w:pStyle w:val="FirstParagraph"/>
      </w:pPr>
      <w:r>
        <w:t xml:space="preserve">Modern literature on pharmacy practice emphasizes a shift from product-oriented services to patient-oriented care. In</w:t>
      </w:r>
      <w:r>
        <w:t xml:space="preserve"> </w:t>
      </w:r>
      <w:r>
        <w:t xml:space="preserve">Germany Frankfurt</w:t>
      </w:r>
      <w:r>
        <w:t xml:space="preserve">, this shift is particularly pronounced due to the high level of health literacy among the populace. The</w:t>
      </w:r>
    </w:p>
    <w:p>
      <w:pPr>
        <w:pStyle w:val="BodyText"/>
      </w:pPr>
      <w:r>
        <w:t xml:space="preserve">Pharmacist is increasingly viewed as the first point of contact for self-medication inquiries and chronic disease management.</w:t>
      </w:r>
    </w:p>
    <w:p>
      <w:pPr>
        <w:pStyle w:val="BodyText"/>
      </w:pPr>
      <w:r>
        <w:t xml:space="preserve">Studies highlight that patients in Frankfurt rely heavily on pharmacists for medication therapy management (MTM). This involves reviewing a patient’s entire medication regimen to identify potential drug-drug interactions, duplications, or adverse effects. Given Frankfurt’s status as a financial hub with a high-stress demographic, there is an increased demand for counseling regarding cardiovascular medications and stress-related prescriptions. The</w:t>
      </w:r>
      <w:r>
        <w:t xml:space="preserve"> </w:t>
      </w:r>
      <w:r>
        <w:t xml:space="preserve">Pharmacist</w:t>
      </w:r>
      <w:r>
        <w:t xml:space="preserve"> </w:t>
      </w:r>
      <w:r>
        <w:t xml:space="preserve">plays a pivotal role in adherence therapy, ensuring that patients understand not only how to take their medication but why it is prescribed. This educational aspect is crucial in preventing hospital readmissions and improving overall public health outcomes.</w:t>
      </w:r>
    </w:p>
    <w:p>
      <w:pPr>
        <w:pStyle w:val="BodyText"/>
      </w:pPr>
      <w:r>
        <w:t xml:space="preserve">Furthermore, the integration of digital health tools in Frankfurt allows pharmacists to offer remote consultations via secure platforms. This technological adaptation ensures that even during peak hours or public health crises, the</w:t>
      </w:r>
      <w:r>
        <w:t xml:space="preserve"> </w:t>
      </w:r>
      <w:r>
        <w:t xml:space="preserve">Pharmacist</w:t>
      </w:r>
      <w:r>
        <w:t xml:space="preserve"> </w:t>
      </w:r>
      <w:r>
        <w:t xml:space="preserve">remains accessible to the community. The ability to provide evidence-based advice instantly is a key competency highlighted in recent professional development books aimed at German healthcare workers.</w:t>
      </w:r>
    </w:p>
    <w:bookmarkStart w:id="22" w:name="economic-and-operational-dynamics"/>
    <w:p>
      <w:pPr>
        <w:pStyle w:val="Heading3"/>
      </w:pPr>
      <w:r>
        <w:t xml:space="preserve">Economic and Operational Dynamics</w:t>
      </w:r>
    </w:p>
    <w:p>
      <w:pPr>
        <w:pStyle w:val="FirstParagraph"/>
      </w:pPr>
      <w:r>
        <w:t xml:space="preserve">Economic analyses within our reviewed texts point out the financial pressures faced by independent pharmacies in major cities like</w:t>
      </w:r>
      <w:r>
        <w:t xml:space="preserve"> </w:t>
      </w:r>
      <w:r>
        <w:t xml:space="preserve">Germany Frankfurt</w:t>
      </w:r>
      <w:r>
        <w:t xml:space="preserve">. Reimbursement rates set by statutory health insurance funds (Gesetzliche Krankenversicherung) are standardized nationally but create tight margins for local businesses. Consequently, the modern</w:t>
      </w:r>
    </w:p>
    <w:p>
      <w:pPr>
        <w:pStyle w:val="BodyText"/>
      </w:pPr>
      <w:r>
        <w:t xml:space="preserve">Pharmacist must possess business acumen alongside clinical expertise.</w:t>
      </w:r>
    </w:p>
    <w:p>
      <w:pPr>
        <w:pStyle w:val="BodyText"/>
      </w:pPr>
      <w:r>
        <w:t xml:space="preserve">This economic reality has led to a diversification of services. Pharmacists in Frankfurt are increasingly offering vaccination services, skin cancer screenings, and point-of-care testing for glucose or cholesterol levels. These value-added services are essential for the sustainability of community pharmacies. The literature suggests that successful pharmacists in this region actively market these health promotion activities to combat the trend of patients purchasing non-prescribed goods online. By positioning themselves as health advisors rather than just vendors, pharmacists secure their relevance in the healthcare ecosystem.</w:t>
      </w:r>
    </w:p>
    <w:bookmarkEnd w:id="22"/>
    <w:bookmarkStart w:id="23" w:name="X74a13ed4a2c47afceaeddd58c0cd298771a9aad"/>
    <w:p>
      <w:pPr>
        <w:pStyle w:val="Heading3"/>
      </w:pPr>
      <w:r>
        <w:t xml:space="preserve">International and Multicultural Competence</w:t>
      </w:r>
    </w:p>
    <w:p>
      <w:pPr>
        <w:pStyle w:val="FirstParagraph"/>
      </w:pPr>
      <w:r>
        <w:t xml:space="preserve">One of the most distinct aspects of working as a</w:t>
      </w:r>
    </w:p>
    <w:p>
      <w:pPr>
        <w:pStyle w:val="BodyText"/>
      </w:pPr>
      <w:r>
        <w:t xml:space="preserve">Pharmacist in</w:t>
      </w:r>
      <w:r>
        <w:t xml:space="preserve"> </w:t>
      </w:r>
      <w:r>
        <w:t xml:space="preserve">Germany Frankfurt</w:t>
      </w:r>
      <w:r>
        <w:t xml:space="preserve">, as noted in sociological studies, is the multicultural nature of the city. Frankfurt is home to a significant international population, including numerous expatriates from Asia, North America, and other parts of Europe. This diversity necessitates a high degree of cultural competence and language proficiency from pharmacists.</w:t>
      </w:r>
    </w:p>
    <w:p>
      <w:pPr>
        <w:pStyle w:val="BodyText"/>
      </w:pPr>
      <w:r>
        <w:t xml:space="preserve">Books on intercultural healthcare communication emphasize that misunderstandings in medication instructions can have severe consequences. Therefore, the</w:t>
      </w:r>
    </w:p>
    <w:p>
      <w:pPr>
        <w:pStyle w:val="BodyText"/>
      </w:pPr>
      <w:r>
        <w:t xml:space="preserve">Pharmacist must be skilled in clear, jargon-free communication across language barriers. This may involve utilizing translation services or having multilingual staff available. Additionally, understanding cultural attitudes toward medicine—such as preferences for herbal remedies or skepticism toward Western pharmaceuticals—is vital for building trust with diverse patient groups. The literature underscores that empathy and adaptability are just as important as chemical knowledge in this multicultural setting.</w:t>
      </w:r>
    </w:p>
    <w:bookmarkEnd w:id="23"/>
    <w:bookmarkEnd w:id="24"/>
    <w:bookmarkStart w:id="25" w:name="conclusion"/>
    <w:p>
      <w:pPr>
        <w:pStyle w:val="Heading2"/>
      </w:pPr>
      <w:r>
        <w:t xml:space="preserve">Conclusion</w:t>
      </w:r>
    </w:p>
    <w:p>
      <w:pPr>
        <w:pStyle w:val="FirstParagraph"/>
      </w:pPr>
      <w:r>
        <w:t xml:space="preserve">In conclusion, this</w:t>
      </w:r>
    </w:p>
    <w:p>
      <w:pPr>
        <w:pStyle w:val="BodyText"/>
      </w:pPr>
      <w:r>
        <w:t xml:space="preserve">Book Report highlights that the role of the</w:t>
      </w:r>
    </w:p>
    <w:p>
      <w:pPr>
        <w:pStyle w:val="BodyText"/>
      </w:pPr>
      <w:r>
        <w:t xml:space="preserve">Pharmacist in</w:t>
      </w:r>
      <w:r>
        <w:t xml:space="preserve"> </w:t>
      </w:r>
      <w:r>
        <w:t xml:space="preserve">Germany Frankfurt</w:t>
      </w:r>
    </w:p>
    <w:p>
      <w:pPr>
        <w:pStyle w:val="BodyText"/>
      </w:pPr>
      <w:r>
        <w:t xml:space="preserve">/em&gt;&gt; is multifaceted and dynamically evolving. It is no longer sufficient to simply dispense medication; one must act as a clinical expert, a business manager, a counselor, and a culturally competent communicator. The regulatory environment demands strict adherence to law, while the patient demographic requires personalized, high-quality care.</w:t>
      </w:r>
    </w:p>
    <w:p>
      <w:pPr>
        <w:pStyle w:val="BodyText"/>
      </w:pPr>
      <w:r>
        <w:t xml:space="preserve">The synthesis of these literary sources confirms that the</w:t>
      </w:r>
    </w:p>
    <w:p>
      <w:pPr>
        <w:pStyle w:val="BodyText"/>
      </w:pPr>
      <w:r>
        <w:t xml:space="preserve">Pharmacist in Frankfurt is an indispensable asset to the healthcare system. By combining scientific rigor with compassionate patient interaction and operational efficiency, they ensure that public health is maintained at a high standard. Future training and professional development for pharmacists in this region should continue to emphasize digital literacy, international communication skills, and advanced clinical competencies to meet the growing demands of a sophisticated urban population.</w:t>
      </w:r>
    </w:p>
    <w:p>
      <w:pPr>
        <w:pStyle w:val="BodyText"/>
      </w:pPr>
      <w:r>
        <w:rPr>
          <w:iCs/>
          <w:i/>
        </w:rPr>
        <w:t xml:space="preserve">This document has been prepared in accordance with professional standards for healthcare literature review and is intended for administrative reference within the Frankfurt health sector.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Pharmacist in Germany Frankfurt</dc:title>
  <dc:creator/>
  <dc:language>en</dc:language>
  <cp:keywords/>
  <dcterms:created xsi:type="dcterms:W3CDTF">2026-07-29T14:46:54Z</dcterms:created>
  <dcterms:modified xsi:type="dcterms:W3CDTF">2026-07-29T14:46:54Z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