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Ghana,</w:t>
      </w:r>
      <w:r>
        <w:t xml:space="preserve"> </w:t>
      </w:r>
      <w:r>
        <w:t xml:space="preserve">Accra</w:t>
      </w:r>
    </w:p>
    <w:bookmarkStart w:id="20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Theory and Reality: The Role of the Physicist in Modern Ghana, Accra</w:t>
      </w:r>
      <w:r>
        <w:br/>
      </w:r>
      <w:r>
        <w:rPr>
          <w:bCs/>
          <w:b/>
        </w:rPr>
        <w:t xml:space="preserve">Date:</w:t>
      </w:r>
      <w:r>
        <w:rPr>
          <w:iCs/>
          <w:i/>
        </w:rPr>
        <w:t xml:space="preserve">[Insert Current Date]</w:t>
      </w:r>
      <w:r>
        <w:br/>
      </w:r>
    </w:p>
    <w:p>
      <w:pPr>
        <w:pStyle w:val="BodyText"/>
      </w:pPr>
      <w:r>
        <w:t xml:space="preserve">Subject Area: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Physicist in the Context of Ghana, Accra</dc:title>
  <dc:creator/>
  <dc:language>en</dc:language>
  <cp:keywords/>
  <dcterms:created xsi:type="dcterms:W3CDTF">2026-09-26T01:19:26Z</dcterms:created>
  <dcterms:modified xsi:type="dcterms:W3CDTF">2026-09-26T01:19:26Z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