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Ghana,</w:t>
      </w:r>
      <w:r>
        <w:t xml:space="preserve"> </w:t>
      </w:r>
      <w:r>
        <w:t xml:space="preserve">Accra</w:t>
      </w:r>
    </w:p>
    <w:bookmarkStart w:id="20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Theory and Reality: The Role of the Physicist in Modern Ghana, Accra</w:t>
      </w:r>
      <w:r>
        <w:br/>
      </w:r>
      <w:r>
        <w:rPr>
          <w:bCs/>
          <w:b/>
        </w:rPr>
        <w:t xml:space="preserve">Date:</w:t>
      </w:r>
      <w:r>
        <w:rPr>
          <w:iCs/>
          <w:i/>
        </w:rPr>
        <w:t xml:space="preserve">[Insert Current Date]</w:t>
      </w:r>
      <w:r>
        <w:br/>
      </w:r>
    </w:p>
    <w:p>
      <w:pPr>
        <w:pStyle w:val="BodyText"/>
      </w:pPr>
      <w:r>
        <w:t xml:space="preserve">Subject Area: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Physicist in the Context of Ghana, Accra</dc:title>
  <dc:creator/>
  <dc:language>en</dc:language>
  <cp:keywords/>
  <dcterms:created xsi:type="dcterms:W3CDTF">2026-09-26T03:05:04Z</dcterms:created>
  <dcterms:modified xsi:type="dcterms:W3CDTF">2026-09-26T03:05:04Z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