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Review:</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bookmarkStart w:id="26" w:name="X2f4644b91e904da5d10b0f70b1bb2c201c50ceb"/>
    <w:p>
      <w:pPr>
        <w:pStyle w:val="Heading1"/>
      </w:pPr>
      <w:r>
        <w:t xml:space="preserve">A Critical Book Report on the Evolution of the Academic Profession</w:t>
      </w:r>
    </w:p>
    <w:p>
      <w:pPr>
        <w:pStyle w:val="FirstParagraph"/>
      </w:pPr>
      <w:r>
        <w:rPr>
          <w:bCs/>
          <w:b/>
        </w:rPr>
        <w:t xml:space="preserve">Book Report</w:t>
      </w:r>
      <w:r>
        <w:br/>
      </w:r>
      <w:r>
        <w:t xml:space="preserve">Prepared for Regional Educational Studies, Department of Sociology</w:t>
      </w:r>
      <w:r>
        <w:br/>
      </w:r>
      <w:r>
        <w:t xml:space="preserve">Date: October 24, 2023</w:t>
      </w:r>
      <w:r>
        <w:br/>
      </w:r>
    </w:p>
    <w:bookmarkStart w:id="20" w:name="i.-introduction-to-the-document"/>
    <w:p>
      <w:pPr>
        <w:pStyle w:val="Heading2"/>
      </w:pPr>
      <w:r>
        <w:t xml:space="preserve">I. Introduction to the Document</w:t>
      </w:r>
    </w:p>
    <w:p>
      <w:pPr>
        <w:pStyle w:val="FirstParagraph"/>
      </w:pPr>
      <w:r>
        <w:t xml:space="preserve">The following document serves as a comprehensive</w:t>
      </w:r>
      <w:r>
        <w:t xml:space="preserve"> </w:t>
      </w:r>
      <w:r>
        <w:t xml:space="preserve">Book Report</w:t>
      </w:r>
      <w:r>
        <w:t xml:space="preserve">. It is designed not merely as a summary of text, but as an analytical synthesis of contemporary academic literature regarding higher education leadership and pedagogy. The primary objective of this report is to dissect the modern role of the academic professional. Specifically, we must consider how traditional scholarly duties have evolved under pressure from globalization and digital transformation. In doing so, this</w:t>
      </w:r>
      <w:r>
        <w:t xml:space="preserve"> </w:t>
      </w:r>
      <w:r>
        <w:t xml:space="preserve">Book Report</w:t>
      </w:r>
      <w:r>
        <w:t xml:space="preserve"> </w:t>
      </w:r>
      <w:r>
        <w:t xml:space="preserve">aims to provide a structured critique that can be applied universally, yet it pays particular attention to specific regional implementations where the academic model faces unique socio-economic challenges.</w:t>
      </w:r>
    </w:p>
    <w:bookmarkEnd w:id="20"/>
    <w:bookmarkStart w:id="21" w:name="ii.-defining-the-contemporary-professor"/>
    <w:p>
      <w:pPr>
        <w:pStyle w:val="Heading2"/>
      </w:pPr>
      <w:r>
        <w:t xml:space="preserve">II. Defining the Contemporary Professor</w:t>
      </w:r>
    </w:p>
    <w:p>
      <w:pPr>
        <w:pStyle w:val="FirstParagraph"/>
      </w:pPr>
      <w:r>
        <w:t xml:space="preserve">To understand the gravity of current academic shifts, one must first define who or what constitutes a modern</w:t>
      </w:r>
      <w:r>
        <w:t xml:space="preserve"> </w:t>
      </w:r>
      <w:r>
        <w:t xml:space="preserve">Professor</w:t>
      </w:r>
      <w:r>
        <w:t xml:space="preserve">. Historically, the title denoted a solitary scholar dedicated to pure research and private tutoring. However, in the twenty-first century, the role of the</w:t>
      </w:r>
      <w:r>
        <w:t xml:space="preserve"> </w:t>
      </w:r>
      <w:r>
        <w:t xml:space="preserve">Professor</w:t>
      </w:r>
      <w:r>
        <w:t xml:space="preserve"> </w:t>
      </w:r>
      <w:r>
        <w:t xml:space="preserve">has expanded exponentially. Today’s academic leader is expected to be a researcher of high caliber, an engaging educator for diverse student bodies, an administrator managing complex budgets, and a public intellectual engaged with community issues.</w:t>
      </w:r>
    </w:p>
    <w:p>
      <w:pPr>
        <w:pStyle w:val="BodyText"/>
      </w:pPr>
      <w:r>
        <w:t xml:space="preserve">This multi-faceted definition creates immense pressure. The tenure-track system that once offered job security in exchange for long-term academic dedication is increasingly being replaced by casualization and fixed-term contracts. Consequently, the identity of the</w:t>
      </w:r>
      <w:r>
        <w:t xml:space="preserve"> </w:t>
      </w:r>
      <w:r>
        <w:t xml:space="preserve">Professor</w:t>
      </w:r>
      <w:r>
        <w:t xml:space="preserve"> </w:t>
      </w:r>
      <w:r>
        <w:t xml:space="preserve">is in a state of flux. We are moving away from the "sage on the stage" model toward a facilitator of knowledge who must constantly adapt to new pedagogical technologies and interdisciplinary requirements.</w:t>
      </w:r>
    </w:p>
    <w:bookmarkEnd w:id="21"/>
    <w:bookmarkStart w:id="22" w:name="Xcccc21c3c59db0e621caa86e017ed3ea20730f6"/>
    <w:p>
      <w:pPr>
        <w:pStyle w:val="Heading2"/>
      </w:pPr>
      <w:r>
        <w:t xml:space="preserve">III. The Geographic Context: Australia Melbourne</w:t>
      </w:r>
    </w:p>
    <w:p>
      <w:pPr>
        <w:pStyle w:val="FirstParagraph"/>
      </w:pPr>
      <w:r>
        <w:t xml:space="preserve">While academic trends are global, they manifest distinctly in local contexts. This analysis places specific emphasis on the environment of</w:t>
      </w:r>
      <w:r>
        <w:t xml:space="preserve"> </w:t>
      </w:r>
      <w:r>
        <w:t xml:space="preserve">Australia Melbourne</w:t>
      </w:r>
      <w:r>
        <w:t xml:space="preserve">. As one of the most liveable and culturally diverse cities in the world,</w:t>
      </w:r>
      <w:r>
        <w:t xml:space="preserve"> </w:t>
      </w:r>
      <w:r>
        <w:t xml:space="preserve">Australia Melbourne</w:t>
      </w:r>
      <w:r>
        <w:t xml:space="preserve"> </w:t>
      </w:r>
      <w:r>
        <w:t xml:space="preserve">serves as a microcosm for Western higher education challenges. The city is home to prestigious institutions such as the University of Melbourne and Monash University, which attract students from across the globe.</w:t>
      </w:r>
    </w:p>
    <w:p>
      <w:pPr>
        <w:pStyle w:val="BodyText"/>
      </w:pPr>
      <w:r>
        <w:t xml:space="preserve">The relevance of focusing on</w:t>
      </w:r>
      <w:r>
        <w:t xml:space="preserve"> </w:t>
      </w:r>
      <w:r>
        <w:t xml:space="preserve">Australia Melbourne</w:t>
      </w:r>
      <w:r>
        <w:t xml:space="preserve"> </w:t>
      </w:r>
      <w:r>
        <w:t xml:space="preserve">lies in its status as an educational export hub. The universities here operate under intense financial pressure to maintain international competitiveness. Therefore, the behavior and expectations of the local</w:t>
      </w:r>
      <w:r>
        <w:t xml:space="preserve"> </w:t>
      </w:r>
      <w:r>
        <w:t xml:space="preserve">Professor</w:t>
      </w:r>
      <w:r>
        <w:t xml:space="preserve"> </w:t>
      </w:r>
      <w:r>
        <w:t xml:space="preserve">are shaped by these market forces more so than perhaps anywhere else in Europe or North America. For instance, a</w:t>
      </w:r>
      <w:r>
        <w:t xml:space="preserve"> </w:t>
      </w:r>
      <w:r>
        <w:t xml:space="preserve">Professor</w:t>
      </w:r>
      <w:r>
        <w:t xml:space="preserve"> </w:t>
      </w:r>
      <w:r>
        <w:t xml:space="preserve">working in</w:t>
      </w:r>
      <w:r>
        <w:t xml:space="preserve"> </w:t>
      </w:r>
      <w:r>
        <w:t xml:space="preserve">Australia Melbourne</w:t>
      </w:r>
      <w:r>
        <w:t xml:space="preserve"> </w:t>
      </w:r>
      <w:r>
        <w:t xml:space="preserve">must navigate the dual expectations of maintaining rigorous local standards while catering to an international cohort that may have varying educational backgrounds and cultural expectations.</w:t>
      </w:r>
    </w:p>
    <w:bookmarkEnd w:id="22"/>
    <w:bookmarkStart w:id="23" w:name="Xdc24a9b3792cec8b1161e02bbbc67f6e29aeb11"/>
    <w:p>
      <w:pPr>
        <w:pStyle w:val="Heading2"/>
      </w:pPr>
      <w:r>
        <w:t xml:space="preserve">IV. Critical Analysis: The Intersection of Role and Location</w:t>
      </w:r>
    </w:p>
    <w:p>
      <w:pPr>
        <w:pStyle w:val="FirstParagraph"/>
      </w:pPr>
      <w:r>
        <w:t xml:space="preserve">The core thesis explored in this analysis is that the definition of a successful academic cannot be separated from its geographic location. In the bustling, multicultural hub of</w:t>
      </w:r>
      <w:r>
        <w:t xml:space="preserve"> </w:t>
      </w:r>
      <w:r>
        <w:t xml:space="preserve">Australia Melbourne</w:t>
      </w:r>
      <w:r>
        <w:t xml:space="preserve">, the ability to manage cultural diversity is as important as research output. The traditional Western academic model often fails to account for Indigenous knowledge systems and global perspectives, yet</w:t>
      </w:r>
      <w:r>
        <w:t xml:space="preserve"> </w:t>
      </w:r>
      <w:r>
        <w:t xml:space="preserve">Australia Melbourne</w:t>
      </w:r>
      <w:r>
        <w:t xml:space="preserve"> </w:t>
      </w:r>
      <w:r>
        <w:t xml:space="preserve">universities are at the forefront of integrating these elements into their curricula.</w:t>
      </w:r>
    </w:p>
    <w:p>
      <w:pPr>
        <w:pStyle w:val="BodyText"/>
      </w:pPr>
      <w:r>
        <w:t xml:space="preserve">This integration places a unique burden on the modern</w:t>
      </w:r>
      <w:r>
        <w:t xml:space="preserve"> </w:t>
      </w:r>
      <w:r>
        <w:t xml:space="preserve">Professor</w:t>
      </w:r>
      <w:r>
        <w:t xml:space="preserve">. They are no longer just disseminators of established facts but mediators between conflicting worldviews. A report on this subject must highlight how professors in</w:t>
      </w:r>
      <w:r>
        <w:t xml:space="preserve"> </w:t>
      </w:r>
      <w:r>
        <w:t xml:space="preserve">Australia Melbourne</w:t>
      </w:r>
      <w:r>
        <w:t xml:space="preserve"> </w:t>
      </w:r>
      <w:r>
        <w:t xml:space="preserve">are developing new frameworks for inclusive teaching. These frameworks are not merely theoretical; they have practical applications in a city that prides itself on social cohesion and multiculturalism.</w:t>
      </w:r>
    </w:p>
    <w:bookmarkEnd w:id="23"/>
    <w:bookmarkStart w:id="24" w:name="X4a24e885cbeb0d31f74177ca60c0ad53935cb47"/>
    <w:p>
      <w:pPr>
        <w:pStyle w:val="Heading2"/>
      </w:pPr>
      <w:r>
        <w:t xml:space="preserve">V. Implications for Future Academic Practice</w:t>
      </w:r>
    </w:p>
    <w:p>
      <w:pPr>
        <w:pStyle w:val="FirstParagraph"/>
      </w:pPr>
      <w:r>
        <w:t xml:space="preserve">The findings of this study suggest that the future stability of academia depends on redefining the metrics by which we judge success. The rigid focus on publication numbers, often seen in older tenure models, is insufficient for addressing the complex societal needs present in places like</w:t>
      </w:r>
      <w:r>
        <w:t xml:space="preserve"> </w:t>
      </w:r>
      <w:r>
        <w:t xml:space="preserve">Australia Melbourne</w:t>
      </w:r>
      <w:r>
        <w:t xml:space="preserve">. Instead, a holistic evaluation of a</w:t>
      </w:r>
      <w:r>
        <w:t xml:space="preserve"> </w:t>
      </w:r>
      <w:r>
        <w:t xml:space="preserve">Professor</w:t>
      </w:r>
      <w:r>
        <w:t xml:space="preserve">’s contribution should include their impact on community engagement, their success in fostering inclusive classrooms, and their ability to collaborate across borders.</w:t>
      </w:r>
    </w:p>
    <w:p>
      <w:pPr>
        <w:pStyle w:val="BodyText"/>
      </w:pPr>
      <w:r>
        <w:t xml:space="preserve">Policymakers and university administrators in the region must support these evolving roles. Investment in professional development for academics is crucial. Furthermore, this</w:t>
      </w:r>
      <w:r>
        <w:t xml:space="preserve"> </w:t>
      </w:r>
      <w:r>
        <w:t xml:space="preserve">Book Report</w:t>
      </w:r>
      <w:r>
        <w:t xml:space="preserve"> </w:t>
      </w:r>
      <w:r>
        <w:t xml:space="preserve">argues that the isolation of academia should be broken. The model of the lonely scholar working in an ivory tower is obsolete, especially when viewed through the lens of a connected city like</w:t>
      </w:r>
      <w:r>
        <w:t xml:space="preserve"> </w:t>
      </w:r>
      <w:r>
        <w:t xml:space="preserve">Australia Melbourne</w:t>
      </w:r>
      <w:r>
        <w:t xml:space="preserve">.</w:t>
      </w:r>
    </w:p>
    <w:bookmarkEnd w:id="24"/>
    <w:bookmarkStart w:id="25" w:name="vi.-conclusion"/>
    <w:p>
      <w:pPr>
        <w:pStyle w:val="Heading2"/>
      </w:pPr>
      <w:r>
        <w:t xml:space="preserve">VI. Conclusion</w:t>
      </w:r>
    </w:p>
    <w:p>
      <w:pPr>
        <w:pStyle w:val="FirstParagraph"/>
      </w:pPr>
      <w:r>
        <w:t xml:space="preserve">In conclusion, this document has provided a thorough examination of the shifting tides in higher education leadership. By utilizing this structure as a formal</w:t>
      </w:r>
      <w:r>
        <w:t xml:space="preserve"> </w:t>
      </w:r>
      <w:r>
        <w:t xml:space="preserve">Book Report</w:t>
      </w:r>
      <w:r>
        <w:t xml:space="preserve">, we have highlighted that the role of the academic is no longer static but dynamic and deeply contextual. The modern</w:t>
      </w:r>
      <w:r>
        <w:t xml:space="preserve"> </w:t>
      </w:r>
      <w:r>
        <w:t xml:space="preserve">Professor</w:t>
      </w:r>
      <w:r>
        <w:t xml:space="preserve"> </w:t>
      </w:r>
      <w:r>
        <w:t xml:space="preserve">must be resilient, adaptable, and culturally competent.</w:t>
      </w:r>
    </w:p>
    <w:p>
      <w:pPr>
        <w:pStyle w:val="BodyText"/>
      </w:pPr>
      <w:r>
        <w:t xml:space="preserve">The case study of</w:t>
      </w:r>
      <w:r>
        <w:t xml:space="preserve"> </w:t>
      </w:r>
      <w:r>
        <w:t xml:space="preserve">Australia Melbourne</w:t>
      </w:r>
      <w:r>
        <w:t xml:space="preserve"> </w:t>
      </w:r>
      <w:r>
        <w:t xml:space="preserve">illustrates both the opportunities and the pressures inherent in this new paradigm. It demonstrates that while global trends drive change, local implementation defines success. Therefore, any future discourse on academic reform must take into account the specific socio-economic fabric of regions like</w:t>
      </w:r>
      <w:r>
        <w:t xml:space="preserve"> </w:t>
      </w:r>
      <w:r>
        <w:t xml:space="preserve">Australia Melbourne</w:t>
      </w:r>
      <w:r>
        <w:t xml:space="preserve">. Only by aligning our understanding of who a</w:t>
      </w:r>
      <w:r>
        <w:t xml:space="preserve"> </w:t>
      </w:r>
      <w:r>
        <w:t xml:space="preserve">Professor</w:t>
      </w:r>
      <w:r>
        <w:t xml:space="preserve"> </w:t>
      </w:r>
      <w:r>
        <w:t xml:space="preserve">is with where they work can we hope to sustain the integrity and relevance of higher education in the coming decades.</w:t>
      </w:r>
    </w:p>
    <w:p>
      <w:pPr>
        <w:pStyle w:val="BodyText"/>
      </w:pPr>
      <w:r>
        <w:t xml:space="preserve">This concludes the present analysis, reaffirming that education remains a vital public good, shaped profoundly by those who teach it, specifically within the vibrant academic landscape of</w:t>
      </w:r>
      <w:r>
        <w:t xml:space="preserve"> </w:t>
      </w:r>
      <w:r>
        <w:t xml:space="preserve">Australia Melbourne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Review: The Modern Professor in the Context of Australia Melbourne</dc:title>
  <dc:creator/>
  <dc:language>en</dc:language>
  <cp:keywords/>
  <dcterms:created xsi:type="dcterms:W3CDTF">2026-07-29T09:51:43Z</dcterms:created>
  <dcterms:modified xsi:type="dcterms:W3CDTF">2026-07-29T09:51:43Z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