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Professor</w:t>
      </w:r>
    </w:p>
    <w:p>
      <w:pPr>
        <w:pStyle w:val="FirstParagraph"/>
      </w:pPr>
      <w:r>
        <w:t xml:space="preserve">```html</w:t>
      </w:r>
    </w:p>
    <w:bookmarkStart w:id="26" w:name="X20da81795a2c84d73032e75963299dbca1aa96d"/>
    <w:p>
      <w:pPr>
        <w:pStyle w:val="Heading1"/>
      </w:pPr>
      <w:r>
        <w:t xml:space="preserve">Book Report Analysis regarding the Figure of the Professor in the Context of China Guangzhou</w:t>
      </w:r>
    </w:p>
    <w:p>
      <w:pPr>
        <w:pStyle w:val="FirstParagraph"/>
      </w:pPr>
      <w:r>
        <w:rPr>
          <w:bCs/>
          <w:b/>
        </w:rPr>
        <w:t xml:space="preserve">Date:</w:t>
      </w:r>
      <w:r>
        <w:t xml:space="preserve"> </w:t>
      </w:r>
      <w:r>
        <w:t xml:space="preserve">October 26, 2023</w:t>
      </w:r>
      <w:r>
        <w:br/>
      </w:r>
      <w:r>
        <w:rPr>
          <w:bCs/>
          <w:b/>
        </w:rPr>
        <w:t xml:space="preserve">To:From:Subject:</w:t>
      </w:r>
    </w:p>
    <w:bookmarkStart w:id="20" w:name="introduction-and-contextual-overview"/>
    <w:p>
      <w:pPr>
        <w:pStyle w:val="Heading2"/>
      </w:pPr>
      <w:r>
        <w:t xml:space="preserve">1. Introduction and Contextual Overview</w:t>
      </w:r>
    </w:p>
    <w:p>
      <w:pPr>
        <w:pStyle w:val="FirstParagraph"/>
      </w:pPr>
      <w:r>
        <w:t xml:space="preserve">In the contemporary landscape of higher education and cultural exchange, the figure of the</w:t>
      </w:r>
      <w:r>
        <w:t xml:space="preserve"> </w:t>
      </w:r>
      <w:r>
        <w:rPr>
          <w:bCs/>
          <w:b/>
        </w:rPr>
        <w:t xml:space="preserve">Professor</w:t>
      </w:r>
      <w:r>
        <w:t xml:space="preserve"> holds a distinct and revered position. This report aims to dissect the multifaceted role of academics within one of China’s most dynamic metropolitan hubs:</w:t>
      </w:r>
      <w:r>
        <w:t xml:space="preserve"> </w:t>
      </w:r>
      <w:r>
        <w:rPr>
          <w:bCs/>
          <w:b/>
        </w:rPr>
        <w:t xml:space="preserve">China Guangzhou</w:t>
      </w:r>
      <w:r>
        <w:t xml:space="preserve">. As a pivotal gateway for trade, technology, and international education in Southern China, Guangzhou presents a unique socio-cultural environment where traditional academic values intersect with rapid modernization. By examining the interactions between the scholarly community and the local ecosystem in</w:t>
      </w:r>
    </w:p>
    <w:p>
      <w:pPr>
        <w:pStyle w:val="BodyText"/>
      </w:pPr>
      <w:r>
        <w:t xml:space="preserve">China Guangzhou, we can better understand how knowledge dissemination is shaped by regional dynamics.</w:t>
      </w:r>
    </w:p>
    <w:p>
      <w:pPr>
        <w:pStyle w:val="BodyText"/>
      </w:pPr>
      <w:r>
        <w:t xml:space="preserve">This document serves not merely as a summary of literary or sociological texts, but as an analytical framework for understanding how a</w:t>
      </w:r>
      <w:r>
        <w:t xml:space="preserve"> </w:t>
      </w:r>
      <w:r>
        <w:rPr>
          <w:bCs/>
          <w:b/>
        </w:rPr>
        <w:t xml:space="preserve">Professor</w:t>
      </w:r>
      <w:r>
        <w:t xml:space="preserve"> operates within the specific geographical and cultural constraints of</w:t>
      </w:r>
    </w:p>
    <w:p>
      <w:pPr>
        <w:pStyle w:val="BodyText"/>
      </w:pPr>
      <w:r>
        <w:t xml:space="preserve">China Guangzhou. The intersection of these three elements—the academic authority, the institutional setting, and the local culture—creates a complex narrative that is essential for educators and policymakers alike.</w:t>
      </w:r>
    </w:p>
    <w:bookmarkEnd w:id="20"/>
    <w:bookmarkStart w:id="21" w:name="X01f4a5a5c33d6a6e9efff4b7d1401e802c3c41d"/>
    <w:p>
      <w:pPr>
        <w:pStyle w:val="Heading2"/>
      </w:pPr>
      <w:r>
        <w:t xml:space="preserve">2. The Role of the Professor in Modern Academia</w:t>
      </w:r>
    </w:p>
    <w:p>
      <w:pPr>
        <w:pStyle w:val="FirstParagraph"/>
      </w:pPr>
      <w:r>
        <w:t xml:space="preserve">The traditional definition of a</w:t>
      </w:r>
      <w:r>
        <w:t xml:space="preserve"> </w:t>
      </w:r>
      <w:r>
        <w:rPr>
          <w:bCs/>
          <w:b/>
        </w:rPr>
        <w:t xml:space="preserve">Professor</w:t>
      </w:r>
      <w:r>
        <w:t xml:space="preserve"> has evolved significantly in recent decades. No longer solely confined to the lecture hall, modern academics are expected to be researchers, community leaders, and cultural ambassadors. In many Western contexts, this role is well-documented; however, when transposed into an Asian context such as</w:t>
      </w:r>
    </w:p>
    <w:p>
      <w:pPr>
        <w:pStyle w:val="BodyText"/>
      </w:pPr>
      <w:r>
        <w:t xml:space="preserve">China Guangzhou, nuances arise that require careful analysis.</w:t>
      </w:r>
    </w:p>
    <w:p>
      <w:pPr>
        <w:pStyle w:val="BodyText"/>
      </w:pPr>
      <w:r>
        <w:t xml:space="preserve">"The modern Professor is a bridge between global knowledge and local application."</w:t>
      </w:r>
    </w:p>
    <w:p>
      <w:pPr>
        <w:pStyle w:val="BodyText"/>
      </w:pPr>
      <w:r>
        <w:t xml:space="preserve">In the context of this report, we observe that a</w:t>
      </w:r>
      <w:r>
        <w:t xml:space="preserve"> </w:t>
      </w:r>
      <w:r>
        <w:rPr>
          <w:bCs/>
          <w:b/>
        </w:rPr>
        <w:t xml:space="preserve">Professor</w:t>
      </w:r>
      <w:r>
        <w:t xml:space="preserve"> in an international setting must possess not only subject matter expertise but also cross-cultural competency. The ability to navigate hierarchical structures, understand implicit communication styles, and respect local customs is paramount. This report posits that the effectiveness of academic instruction in</w:t>
      </w:r>
    </w:p>
    <w:p>
      <w:pPr>
        <w:pStyle w:val="BodyText"/>
      </w:pPr>
      <w:r>
        <w:t xml:space="preserve">China Guangzhou is directly correlated with the Professor’s adaptability and willingness to engage with the local community beyond campus borders.</w:t>
      </w:r>
    </w:p>
    <w:bookmarkEnd w:id="21"/>
    <w:bookmarkStart w:id="22" w:name="the-unique-landscape-of-china-guangzhou"/>
    <w:p>
      <w:pPr>
        <w:pStyle w:val="Heading2"/>
      </w:pPr>
      <w:r>
        <w:t xml:space="preserve">3. The Unique Landscape of China Guangzhou</w:t>
      </w:r>
    </w:p>
    <w:p>
      <w:pPr>
        <w:pStyle w:val="FirstParagraph"/>
      </w:pPr>
      <w:r>
        <w:t xml:space="preserve">China Guangzhou stands as a historical metropolis that has seamlessly blended its rich heritage with futuristic urban development. Known for the Canton Fair and its vibrant tech sector, the city attracts thousands of international scholars and students annually. For a</w:t>
      </w:r>
      <w:r>
        <w:t xml:space="preserve"> </w:t>
      </w:r>
      <w:r>
        <w:rPr>
          <w:bCs/>
          <w:b/>
        </w:rPr>
        <w:t xml:space="preserve">Professor</w:t>
      </w:r>
      <w:r>
        <w:t xml:space="preserve">, understanding this backdrop is crucial. The intellectual environment in Guangzhou is competitive yet collaborative, driven by a strong emphasis on practical application and innovation.</w:t>
      </w:r>
    </w:p>
    <w:p>
      <w:pPr>
        <w:pStyle w:val="BodyText"/>
      </w:pPr>
      <w:r>
        <w:t xml:space="preserve">The educational institutions in</w:t>
      </w:r>
    </w:p>
    <w:p>
      <w:pPr>
        <w:pStyle w:val="BodyText"/>
      </w:pPr>
      <w:r>
        <w:t xml:space="preserve">China Guangzhou are increasingly integrating global curricula while maintaining rigorous academic standards. This creates a hybrid learning atmosphere where traditional Chinese pedagogical methods meet Western critical thinking frameworks. Consequently, the role of the</w:t>
      </w:r>
      <w:r>
        <w:t xml:space="preserve"> </w:t>
      </w:r>
      <w:r>
        <w:rPr>
          <w:bCs/>
          <w:b/>
        </w:rPr>
        <w:t xml:space="preserve">Professor</w:t>
      </w:r>
      <w:r>
        <w:t xml:space="preserve"> becomes that of a facilitator who must guide students through this dichotomy, encouraging them to appreciate both local traditions and global perspectives.</w:t>
      </w:r>
    </w:p>
    <w:bookmarkEnd w:id="22"/>
    <w:bookmarkStart w:id="23" w:name="X8889fd47d7b774bcf346a700c4a4e8f76fab176"/>
    <w:p>
      <w:pPr>
        <w:pStyle w:val="Heading2"/>
      </w:pPr>
      <w:r>
        <w:t xml:space="preserve">4. Challenges and Opportunities for Professors in China Guangzhou</w:t>
      </w:r>
    </w:p>
    <w:p>
      <w:pPr>
        <w:pStyle w:val="FirstParagraph"/>
      </w:pPr>
      <w:r>
        <w:rPr>
          <w:bCs/>
          <w:b/>
        </w:rPr>
        <w:t xml:space="preserve">A. Cultural Integration</w:t>
      </w:r>
      <w:r>
        <w:br/>
      </w:r>
      <w:r>
        <w:t xml:space="preserve">The primary challenge for any</w:t>
      </w:r>
      <w:r>
        <w:t xml:space="preserve"> </w:t>
      </w:r>
      <w:r>
        <w:rPr>
          <w:bCs/>
          <w:b/>
        </w:rPr>
        <w:t xml:space="preserve">Professor</w:t>
      </w:r>
      <w:r>
        <w:t xml:space="preserve"> working in</w:t>
      </w:r>
    </w:p>
    <w:p>
      <w:pPr>
        <w:pStyle w:val="BodyText"/>
      </w:pPr>
      <w:r>
        <w:t xml:space="preserve">China Guangzhou is cultural integration. Students may exhibit varying levels of comfort with open debate or critical critique, traits often emphasized in Western academic settings. A successful Professor must adapt their teaching style to encourage participation without causing discomfort, fostering an environment of mutual respect.</w:t>
      </w:r>
    </w:p>
    <w:p>
      <w:pPr>
        <w:pStyle w:val="BodyText"/>
      </w:pPr>
      <w:r>
        <w:rPr>
          <w:bCs/>
          <w:b/>
        </w:rPr>
        <w:t xml:space="preserve">B. Technological Advancement</w:t>
      </w:r>
      <w:r>
        <w:br/>
      </w:r>
      <w:r>
        <w:t xml:space="preserve">Guangzhou is a hub for technology and innovation. Professors here are expected to leverage digital tools and online platforms effectively. The integration of AI-driven learning aids and virtual collaboration spaces is becoming standard in universities across</w:t>
      </w:r>
    </w:p>
    <w:p>
      <w:pPr>
        <w:pStyle w:val="BodyText"/>
      </w:pPr>
      <w:r>
        <w:t xml:space="preserve">China Guangzhou. The modern Professor must remain technologically proficient to ensure that their pedagogy remains relevant and engaging.</w:t>
      </w:r>
    </w:p>
    <w:p>
      <w:pPr>
        <w:pStyle w:val="BodyText"/>
      </w:pPr>
      <w:r>
        <w:rPr>
          <w:bCs/>
          <w:b/>
        </w:rPr>
        <w:t xml:space="preserve">C. Community Engagement</w:t>
      </w:r>
      <w:r>
        <w:br/>
      </w:r>
      <w:r>
        <w:t xml:space="preserve">Beyond the classroom, there is a growing expectation for academics in</w:t>
      </w:r>
    </w:p>
    <w:p>
      <w:pPr>
        <w:pStyle w:val="BodyText"/>
      </w:pPr>
      <w:r>
        <w:t xml:space="preserve">China Guangzhou to engage with the local industry. Partnerships between universities and tech firms or trade organizations are common. A Professor who actively participates in these collaborations enhances their own professional standing while providing students with valuable real-world insights.</w:t>
      </w:r>
    </w:p>
    <w:bookmarkEnd w:id="23"/>
    <w:bookmarkStart w:id="24" w:name="X8127535a42fb99ea0a7fbc7761dc63edecf148a"/>
    <w:p>
      <w:pPr>
        <w:pStyle w:val="Heading2"/>
      </w:pPr>
      <w:r>
        <w:t xml:space="preserve">5. Case Study: Academic Collaboration in China Guangzhou</w:t>
      </w:r>
    </w:p>
    <w:p>
      <w:pPr>
        <w:pStyle w:val="FirstParagraph"/>
      </w:pPr>
      <w:r>
        <w:t xml:space="preserve">To illustrate the practical application of this report’s themes, we consider a hypothetical scenario involving a visiting</w:t>
      </w:r>
      <w:r>
        <w:t xml:space="preserve"> </w:t>
      </w:r>
      <w:r>
        <w:rPr>
          <w:bCs/>
          <w:b/>
        </w:rPr>
        <w:t xml:space="preserve">Professor</w:t>
      </w:r>
      <w:r>
        <w:t xml:space="preserve"> from Europe joining a joint research initiative in</w:t>
      </w:r>
    </w:p>
    <w:p>
      <w:pPr>
        <w:pStyle w:val="BodyText"/>
      </w:pPr>
      <w:r>
        <w:t xml:space="preserve">China Guangzhou. The success of this collaboration hinges on several factors:</w:t>
      </w:r>
    </w:p>
    <w:p>
      <w:pPr>
        <w:numPr>
          <w:ilvl w:val="0"/>
          <w:numId w:val="1001"/>
        </w:numPr>
        <w:pStyle w:val="Compact"/>
      </w:pPr>
      <w:r>
        <w:t xml:space="preserve">Mutual Respect:The Professor acknowledges the historical significance of Guangzhou as a center for trade and culture.</w:t>
      </w:r>
    </w:p>
    <w:p>
      <w:pPr>
        <w:numPr>
          <w:ilvl w:val="0"/>
          <w:numId w:val="1001"/>
        </w:numPr>
        <w:pStyle w:val="Compact"/>
      </w:pPr>
      <w:r>
        <w:t xml:space="preserve">Clinical Adaptability: The academic adjusts their research methodology to align with local data collection standards.</w:t>
      </w:r>
    </w:p>
    <w:p>
      <w:pPr>
        <w:numPr>
          <w:ilvl w:val="0"/>
          <w:numId w:val="1001"/>
        </w:numPr>
        <w:pStyle w:val="Compact"/>
      </w:pPr>
      <w:r>
        <w:t xml:space="preserve">Language Sensitivity: While English is widely used in academia, efforts to communicate in Mandarin demonstrate commitment and respect for the host city of</w:t>
      </w:r>
    </w:p>
    <w:p>
      <w:pPr>
        <w:numPr>
          <w:ilvl w:val="0"/>
          <w:numId w:val="1000"/>
        </w:numPr>
        <w:pStyle w:val="Compact"/>
      </w:pPr>
      <w:r>
        <w:t xml:space="preserve">China Guangzhou.</w:t>
      </w:r>
    </w:p>
    <w:p>
      <w:pPr>
        <w:pStyle w:val="FirstParagraph"/>
      </w:pPr>
      <w:r>
        <w:t xml:space="preserve">This scenario underscores that the role of a</w:t>
      </w:r>
      <w:r>
        <w:t xml:space="preserve"> </w:t>
      </w:r>
      <w:r>
        <w:rPr>
          <w:bCs/>
          <w:b/>
        </w:rPr>
        <w:t xml:space="preserve">Professor</w:t>
      </w:r>
      <w:r>
        <w:t xml:space="preserve"> is not static. It requires continuous learning and adaptation, particularly when situated in a vibrant, fast-paced region like</w:t>
      </w:r>
    </w:p>
    <w:p>
      <w:pPr>
        <w:pStyle w:val="BodyText"/>
      </w:pPr>
      <w:r>
        <w:t xml:space="preserve">China Guangzhou. The Professor becomes a cultural mediator, translating complex academic concepts into culturally resonant frameworks.</w:t>
      </w:r>
    </w:p>
    <w:bookmarkEnd w:id="24"/>
    <w:bookmarkStart w:id="25" w:name="conclusion-and-recommendations"/>
    <w:p>
      <w:pPr>
        <w:pStyle w:val="Heading2"/>
      </w:pPr>
      <w:r>
        <w:t xml:space="preserve">6. Conclusion and Recommendations</w:t>
      </w:r>
    </w:p>
    <w:p>
      <w:pPr>
        <w:pStyle w:val="FirstParagraph"/>
      </w:pPr>
      <w:r>
        <w:t xml:space="preserve">In conclusion, this Book Report analysis highlights that the figure of the</w:t>
      </w:r>
      <w:r>
        <w:t xml:space="preserve"> </w:t>
      </w:r>
      <w:r>
        <w:rPr>
          <w:bCs/>
          <w:b/>
        </w:rPr>
        <w:t xml:space="preserve">Professor</w:t>
      </w:r>
      <w:r>
        <w:t xml:space="preserve"> in an international context, specifically within</w:t>
      </w:r>
    </w:p>
    <w:p>
      <w:pPr>
        <w:pStyle w:val="BodyText"/>
      </w:pPr>
      <w:r>
        <w:t xml:space="preserve">China Guangzhou, is one of complexity and depth. It is not merely about delivering content but about navigating a rich cultural tapestry that influences how knowledge is received and applied.</w:t>
      </w:r>
    </w:p>
    <w:p>
      <w:pPr>
        <w:pStyle w:val="BodyText"/>
      </w:pPr>
      <w:r>
        <w:t xml:space="preserve">We recommend the following actions for institutions planning to host or deploy Professors in this region:</w:t>
      </w:r>
    </w:p>
    <w:p>
      <w:pPr>
        <w:numPr>
          <w:ilvl w:val="0"/>
          <w:numId w:val="1002"/>
        </w:numPr>
        <w:pStyle w:val="Compact"/>
      </w:pPr>
      <w:r>
        <w:t xml:space="preserve">Cultural Pre-Deployment Training: Prepare academics with comprehensive insights into the social norms of Guangzhou.</w:t>
      </w:r>
    </w:p>
    <w:p>
      <w:pPr>
        <w:numPr>
          <w:ilvl w:val="0"/>
          <w:numId w:val="1002"/>
        </w:numPr>
        <w:pStyle w:val="Compact"/>
      </w:pPr>
      <w:r>
        <w:t xml:space="preserve">Ongoing Support Systems: Establish mentorship programs that connect new Professors with local colleagues to facilitate smoother integration.</w:t>
      </w:r>
    </w:p>
    <w:p>
      <w:pPr>
        <w:numPr>
          <w:ilvl w:val="0"/>
          <w:numId w:val="1002"/>
        </w:numPr>
        <w:pStyle w:val="Compact"/>
      </w:pPr>
      <w:r>
        <w:t xml:space="preserve">Promotion of Local Engagement: Encourage Professors to participate in community events and industry forums in</w:t>
      </w:r>
    </w:p>
    <w:p>
      <w:pPr>
        <w:numPr>
          <w:ilvl w:val="0"/>
          <w:numId w:val="1000"/>
        </w:numPr>
        <w:pStyle w:val="Compact"/>
      </w:pPr>
      <w:r>
        <w:t xml:space="preserve">China Guangzhou, fostering deeper connections and enhancing the university’s reputation.</w:t>
      </w:r>
    </w:p>
    <w:p>
      <w:pPr>
        <w:pStyle w:val="FirstParagraph"/>
      </w:pPr>
      <w:r>
        <w:t xml:space="preserve">The synergy between the intellectual rigor of a Professor, the educational infrastructure, and the dynamic spirit of China Guangzhou offers unparalleled opportunities for academic growth. By recognizing these interdependencies, we can create more effective educational environments that benefit both local students and international faculty alike.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Professor</dc:title>
  <dc:creator/>
  <dc:language>en</dc:language>
  <cp:keywords/>
  <dcterms:created xsi:type="dcterms:W3CDTF">2026-07-29T19:21:43Z</dcterms:created>
  <dcterms:modified xsi:type="dcterms:W3CDTF">2026-07-29T19:21:43Z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