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Legacy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Jerusalem</w:t>
      </w:r>
    </w:p>
    <w:bookmarkStart w:id="20" w:name="X39cd0e1df2a791b7cab0fe2e1a7431b83ecf57d"/>
    <w:p>
      <w:pPr>
        <w:pStyle w:val="Heading1"/>
      </w:pPr>
      <w:r>
        <w:t xml:space="preserve">Book Report: The Enduring Impact of the Professor in Jerusalem</w:t>
      </w:r>
    </w:p>
    <w:p>
      <w:pPr>
        <w:pStyle w:val="FirstParagraph"/>
      </w:pPr>
      <w:r>
        <w:t xml:space="preserve">Prepared for Academic Review</w:t>
      </w:r>
      <w:r>
        <w:br/>
      </w:r>
      <w:r>
        <w:t xml:space="preserve">Date: October 2023</w:t>
      </w:r>
      <w:r>
        <w:br/>
      </w:r>
      <w:r>
        <w:t xml:space="preserve">Subject Area: Pedagogical History &amp; Middle Eastern Studies</w:t>
      </w:r>
    </w:p>
    <w:bookmarkEnd w:id="20"/>
    <w:bookmarkStart w:id="21" w:name="introduction-to-the-work-and-context"/>
    <w:p>
      <w:pPr>
        <w:pStyle w:val="Heading2"/>
      </w:pPr>
      <w:r>
        <w:t xml:space="preserve">Introduction to the Work and Context</w:t>
      </w:r>
    </w:p>
    <w:p>
      <w:pPr>
        <w:pStyle w:val="FirstParagraph"/>
      </w:pPr>
      <w:r>
        <w:t xml:space="preserve">The subject of this book report is an analytical examination of the archetypal figure known as</w:t>
      </w:r>
      <w:r>
        <w:t xml:space="preserve"> </w:t>
      </w:r>
      <w:r>
        <w:rPr>
          <w:bCs/>
          <w:b/>
        </w:rPr>
        <w:t xml:space="preserve">"The Professor"</w:t>
      </w:r>
      <w:r>
        <w:t xml:space="preserve">, specifically within the complex and historically dense context of</w:t>
      </w:r>
      <w:r>
        <w:t xml:space="preserve"> </w:t>
      </w:r>
      <w:r>
        <w:rPr>
          <w:bCs/>
          <w:b/>
        </w:rPr>
        <w:t xml:space="preserve">Jerusalem, Israel</w:t>
      </w:r>
      <w:r>
        <w:t xml:space="preserve">. This report explores how literature, historical records, and sociological studies depict the role of higher education scholars in a city that serves as a spiritual nexus for three major monotheistic religions. The central thesis posits that</w:t>
      </w:r>
      <w:r>
        <w:t xml:space="preserve"> </w:t>
      </w:r>
      <w:r>
        <w:rPr>
          <w:bCs/>
          <w:b/>
        </w:rPr>
        <w:t xml:space="preserve">The Professor</w:t>
      </w:r>
      <w:r>
        <w:t xml:space="preserve"> </w:t>
      </w:r>
      <w:r>
        <w:t xml:space="preserve">in this region is not merely an educator but a crucial arbiter of cultural memory, political discourse, and social cohesion. By analyzing narratives set against the backdrop of</w:t>
      </w:r>
      <w:r>
        <w:t xml:space="preserve"> </w:t>
      </w:r>
      <w:r>
        <w:rPr>
          <w:bCs/>
          <w:b/>
        </w:rPr>
        <w:t xml:space="preserve">Israel Jerusalem</w:t>
      </w:r>
      <w:r>
        <w:t xml:space="preserve">, we gain insight into how academic authority intersects with national identity.</w:t>
      </w:r>
    </w:p>
    <w:bookmarkEnd w:id="21"/>
    <w:bookmarkStart w:id="22" w:name="X639410f5f4c9472986bd7d5e95082329638543f"/>
    <w:p>
      <w:pPr>
        <w:pStyle w:val="Heading2"/>
      </w:pPr>
      <w:r>
        <w:t xml:space="preserve">The Role of the Professor as Cultural Custodian</w:t>
      </w:r>
    </w:p>
    <w:p>
      <w:pPr>
        <w:pStyle w:val="FirstParagraph"/>
      </w:pPr>
      <w:r>
        <w:t xml:space="preserve">In many Western contexts, a</w:t>
      </w:r>
      <w:r>
        <w:t xml:space="preserve"> </w:t>
      </w:r>
      <w:r>
        <w:rPr>
          <w:bCs/>
          <w:b/>
        </w:rPr>
        <w:t xml:space="preserve">Professor</w:t>
      </w:r>
      <w:r>
        <w:t xml:space="preserve"> </w:t>
      </w:r>
      <w:r>
        <w:t xml:space="preserve">is viewed primarily through the lens of disciplinary expertise. However, in</w:t>
      </w:r>
      <w:r>
        <w:t xml:space="preserve"> </w:t>
      </w:r>
      <w:r>
        <w:rPr>
          <w:bCs/>
          <w:b/>
        </w:rPr>
        <w:t xml:space="preserve">Jerusalem Israel</w:t>
      </w:r>
      <w:r>
        <w:t xml:space="preserve">, this definition expands significantly. The city’s layered history—spanning Canaanite, Roman, Byzantine, Islamic, Crusader, Ottoman, and modern periods—requires scholars who act as custodians of truth amidst contested narratives. The literature suggests that the</w:t>
      </w:r>
      <w:r>
        <w:t xml:space="preserve"> </w:t>
      </w:r>
      <w:r>
        <w:rPr>
          <w:bCs/>
          <w:b/>
        </w:rPr>
        <w:t xml:space="preserve">Professor</w:t>
      </w:r>
      <w:r>
        <w:t xml:space="preserve"> </w:t>
      </w:r>
      <w:r>
        <w:t xml:space="preserve">in Jerusalem often bears the burden of interpreting these layers for both local students and international observers.</w:t>
      </w:r>
    </w:p>
    <w:p>
      <w:pPr>
        <w:pStyle w:val="BodyText"/>
      </w:pPr>
      <w:r>
        <w:t xml:space="preserve">This role is particularly evident in departments of History, Archaeology, and Theology at institutions such as Hebrew University and Bar-Ilan University. These scholars are frequently called upon to provide context that goes beyond textbook facts. They engage in "knowledge diplomacy," using their academic platforms to bridge divides or, conversely, to reinforce national boundaries depending on the political climate. The report highlights that the</w:t>
      </w:r>
      <w:r>
        <w:t xml:space="preserve"> </w:t>
      </w:r>
      <w:r>
        <w:rPr>
          <w:bCs/>
          <w:b/>
        </w:rPr>
        <w:t xml:space="preserve">Professor</w:t>
      </w:r>
      <w:r>
        <w:t xml:space="preserve"> </w:t>
      </w:r>
      <w:r>
        <w:t xml:space="preserve">here is expected to possess a dual competency: rigorous academic detachment and an intuitive understanding of the emotional resonance of historical events for local communities.</w:t>
      </w:r>
    </w:p>
    <w:bookmarkEnd w:id="22"/>
    <w:bookmarkStart w:id="23" w:name="navigating-political-and-social-divides"/>
    <w:p>
      <w:pPr>
        <w:pStyle w:val="Heading2"/>
      </w:pPr>
      <w:r>
        <w:t xml:space="preserve">Navigating Political and Social Divides</w:t>
      </w:r>
    </w:p>
    <w:p>
      <w:pPr>
        <w:pStyle w:val="FirstParagraph"/>
      </w:pPr>
      <w:r>
        <w:t xml:space="preserve">A significant portion of the examined texts addresses the challenges faced by</w:t>
      </w:r>
      <w:r>
        <w:t xml:space="preserve"> </w:t>
      </w:r>
      <w:r>
        <w:rPr>
          <w:bCs/>
          <w:b/>
        </w:rPr>
        <w:t xml:space="preserve">The Professor</w:t>
      </w:r>
      <w:r>
        <w:t xml:space="preserve"> </w:t>
      </w:r>
      <w:r>
        <w:t xml:space="preserve">in a divided city.</w:t>
      </w:r>
      <w:r>
        <w:t xml:space="preserve"> </w:t>
      </w:r>
      <w:r>
        <w:rPr>
          <w:bCs/>
          <w:b/>
        </w:rPr>
        <w:t xml:space="preserve">Jerusalem Israel</w:t>
      </w:r>
      <w:r>
        <w:t xml:space="preserve"> </w:t>
      </w:r>
      <w:r>
        <w:t xml:space="preserve">is characterized by deep-seated communal, religious, and political fault lines. The academic environment within this landscape is not insulated from these tensions; rather, it is often a microcosm of them.</w:t>
      </w:r>
    </w:p>
    <w:p>
      <w:pPr>
        <w:pStyle w:val="BodyText"/>
      </w:pPr>
      <w:r>
        <w:t xml:space="preserve">The report identifies several key themes regarding the social function of the</w:t>
      </w:r>
      <w:r>
        <w:t xml:space="preserve"> </w:t>
      </w:r>
      <w:r>
        <w:rPr>
          <w:bCs/>
          <w:b/>
        </w:rPr>
        <w:t xml:space="preserve">Professor</w:t>
      </w:r>
      <w:r>
        <w:t xml:space="preserve">:</w:t>
      </w:r>
    </w:p>
    <w:p>
      <w:pPr>
        <w:numPr>
          <w:ilvl w:val="0"/>
          <w:numId w:val="1001"/>
        </w:numPr>
        <w:pStyle w:val="Compact"/>
      </w:pPr>
      <w:r>
        <w:rPr>
          <w:bCs/>
          <w:b/>
        </w:rPr>
        <w:t xml:space="preserve">Multicultural Dialogue:</w:t>
      </w:r>
      <w:r>
        <w:t xml:space="preserve"> </w:t>
      </w:r>
      <w:r>
        <w:t xml:space="preserve">How Jewish, Arab, and international professors collaborate or conflict in shared academic spaces. The ability of a</w:t>
      </w:r>
      <w:r>
        <w:t xml:space="preserve"> </w:t>
      </w:r>
      <w:r>
        <w:rPr>
          <w:bCs/>
          <w:b/>
        </w:rPr>
        <w:t xml:space="preserve">Professor</w:t>
      </w:r>
    </w:p>
    <w:p>
      <w:pPr>
        <w:numPr>
          <w:ilvl w:val="0"/>
          <w:numId w:val="1001"/>
        </w:numPr>
        <w:pStyle w:val="Compact"/>
      </w:pPr>
      <w:r>
        <w:rPr>
          <w:bCs/>
          <w:b/>
        </w:rPr>
        <w:t xml:space="preserve">National Narrative Construction:</w:t>
      </w:r>
      <w:r>
        <w:t xml:space="preserve"> </w:t>
      </w:r>
      <w:r>
        <w:t xml:space="preserve">In the early decades of the state, the</w:t>
      </w:r>
      <w:r>
        <w:t xml:space="preserve"> </w:t>
      </w:r>
      <w:r>
        <w:rPr>
          <w:bCs/>
          <w:b/>
        </w:rPr>
        <w:t xml:space="preserve">Professor</w:t>
      </w:r>
    </w:p>
    <w:p>
      <w:pPr>
        <w:numPr>
          <w:ilvl w:val="0"/>
          <w:numId w:val="1001"/>
        </w:numPr>
        <w:pStyle w:val="Compact"/>
      </w:pPr>
      <w:r>
        <w:rPr>
          <w:bCs/>
          <w:b/>
        </w:rPr>
        <w:t xml:space="preserve">Ethical Responsibility:</w:t>
      </w:r>
      <w:r>
        <w:t xml:space="preserve"> </w:t>
      </w:r>
      <w:r>
        <w:t xml:space="preserve">The texts emphasize that the</w:t>
      </w:r>
    </w:p>
    <w:p>
      <w:pPr>
        <w:numPr>
          <w:ilvl w:val="0"/>
          <w:numId w:val="1000"/>
        </w:numPr>
        <w:pStyle w:val="Compact"/>
      </w:pPr>
      <w:r>
        <w:t xml:space="preserve">Professor</w:t>
      </w:r>
    </w:p>
    <w:bookmarkEnd w:id="23"/>
    <w:bookmarkStart w:id="24" w:name="X1aeb7c4c6a87fdeb722c7c29cd0f15df4e92968"/>
    <w:p>
      <w:pPr>
        <w:pStyle w:val="Heading2"/>
      </w:pPr>
      <w:r>
        <w:t xml:space="preserve">The Intellectual Climate of Israel Jerusalem</w:t>
      </w:r>
    </w:p>
    <w:p>
      <w:pPr>
        <w:pStyle w:val="FirstParagraph"/>
      </w:pPr>
      <w:r>
        <w:t xml:space="preserve">The physical and intellectual environment of</w:t>
      </w:r>
      <w:r>
        <w:t xml:space="preserve"> </w:t>
      </w:r>
      <w:r>
        <w:rPr>
          <w:bCs/>
          <w:b/>
        </w:rPr>
        <w:t xml:space="preserve">Jerusalem Israel</w:t>
      </w:r>
      <w:r>
        <w:t xml:space="preserve"> </w:t>
      </w:r>
      <w:r>
        <w:t xml:space="preserve">shapes the demeanor and output of its academics. The report notes that the city’s vibrant mix of ancient tradition and modern innovation creates a unique pedagogical atmosphere. Classrooms in Jerusalem are often filled with students who bring diverse life experiences—from secular intellectuals to devout religious scholars—creating dynamic debates that are rare in more homogeneous academic settings.</w:t>
      </w:r>
    </w:p>
    <w:p>
      <w:pPr>
        <w:pStyle w:val="BodyText"/>
      </w:pPr>
      <w:r>
        <w:rPr>
          <w:bCs/>
          <w:b/>
        </w:rPr>
        <w:t xml:space="preserve">The Professor</w:t>
      </w:r>
      <w:r>
        <w:t xml:space="preserve"> </w:t>
      </w:r>
      <w:r>
        <w:t xml:space="preserve">is therefore required to be adaptable. The ability to guide discussions where ancient texts meet modern political realities is a hallmark of successful academia in this region. The report argues that this environment produces a distinct type of scholar: one who is resilient, contextually aware, and deeply engaged with societal issues. This stands in contrast to the "ivory tower" model often criticized elsewhere.</w:t>
      </w:r>
    </w:p>
    <w:bookmarkEnd w:id="24"/>
    <w:bookmarkStart w:id="25" w:name="critique-and-contemporary-relevance"/>
    <w:p>
      <w:pPr>
        <w:pStyle w:val="Heading2"/>
      </w:pPr>
      <w:r>
        <w:t xml:space="preserve">Critique and Contemporary Relevance</w:t>
      </w:r>
    </w:p>
    <w:p>
      <w:pPr>
        <w:pStyle w:val="FirstParagraph"/>
      </w:pPr>
      <w:r>
        <w:t xml:space="preserve">While the historical contributions of</w:t>
      </w:r>
      <w:r>
        <w:t xml:space="preserve"> </w:t>
      </w:r>
      <w:r>
        <w:rPr>
          <w:bCs/>
          <w:b/>
        </w:rPr>
        <w:t xml:space="preserve">The Professor</w:t>
      </w:r>
      <w:r>
        <w:t xml:space="preserve"> </w:t>
      </w:r>
      <w:r>
        <w:t xml:space="preserve">are lauded, the report also offers a critical perspective. Recent publications suggest that some academic institutions in</w:t>
      </w:r>
      <w:r>
        <w:t xml:space="preserve"> </w:t>
      </w:r>
      <w:r>
        <w:rPr>
          <w:bCs/>
          <w:b/>
        </w:rPr>
        <w:t xml:space="preserve">Jerusalem Israel</w:t>
      </w:r>
      <w:r>
        <w:t xml:space="preserve"> </w:t>
      </w:r>
      <w:r>
        <w:t xml:space="preserve">have become overly politicized, with faculty appointments and curricular decisions influenced by external pressures from government bodies or civil society groups. This tension raises questions about academic freedom.</w:t>
      </w:r>
    </w:p>
    <w:p>
      <w:pPr>
        <w:pStyle w:val="BodyText"/>
      </w:pPr>
      <w:r>
        <w:t xml:space="preserve">The report concludes that the future of higher education in this region depends on the ability of</w:t>
      </w:r>
    </w:p>
    <w:p>
      <w:pPr>
        <w:pStyle w:val="BodyText"/>
      </w:pPr>
      <w:r>
        <w:t xml:space="preserve">The Professor to reclaim a space for neutral inquiry without ignoring ethical responsibilities. It calls for a renewed commitment to dialogue-based learning, where the diverse voices within</w:t>
      </w:r>
      <w:r>
        <w:t xml:space="preserve"> </w:t>
      </w:r>
      <w:r>
        <w:rPr>
          <w:bCs/>
          <w:b/>
        </w:rPr>
        <w:t xml:space="preserve">Jerusalem Israel</w:t>
      </w:r>
      <w:r>
        <w:t xml:space="preserve"> </w:t>
      </w:r>
      <w:r>
        <w:t xml:space="preserve">are heard and respected through rigorous academic discourse.</w:t>
      </w:r>
    </w:p>
    <w:bookmarkEnd w:id="25"/>
    <w:bookmarkStart w:id="26" w:name="conclusion"/>
    <w:p>
      <w:pPr>
        <w:pStyle w:val="Heading2"/>
      </w:pPr>
      <w:r>
        <w:t xml:space="preserve">Conclusion</w:t>
      </w:r>
    </w:p>
    <w:p>
      <w:pPr>
        <w:pStyle w:val="FirstParagraph"/>
      </w:pPr>
      <w:r>
        <w:t xml:space="preserve">In summary, this book report underscores that</w:t>
      </w:r>
    </w:p>
    <w:p>
      <w:pPr>
        <w:pStyle w:val="BodyText"/>
      </w:pPr>
      <w:r>
        <w:t xml:space="preserve">The Professor in</w:t>
      </w:r>
      <w:r>
        <w:t xml:space="preserve"> </w:t>
      </w:r>
      <w:r>
        <w:rPr>
          <w:bCs/>
          <w:b/>
        </w:rPr>
        <w:t xml:space="preserve">Jerusalem Israel</w:t>
      </w:r>
      <w:r>
        <w:t xml:space="preserve"> </w:t>
      </w:r>
      <w:r>
        <w:t xml:space="preserve">is a pivotal figure whose influence extends far beyond the classroom. They serve as historians, mediators, and ethical leaders in one of the world’s most significant cities. Understanding their role is essential for grasping the broader cultural and political dynamics of modern Israel Jerusalem. The literature consistently portrays them as guardians of knowledge who must navigate complex historical currents with wisdom and integrity.</w:t>
      </w:r>
    </w:p>
    <w:p>
      <w:pPr>
        <w:pStyle w:val="BodyText"/>
      </w:pPr>
      <w:r>
        <w:rPr>
          <w:bCs/>
          <w:b/>
        </w:rPr>
        <w:t xml:space="preserve">Final Assessment:</w:t>
      </w:r>
      <w:r>
        <w:br/>
      </w:r>
      <w:r>
        <w:t xml:space="preserve">This report confirms that the figure of the</w:t>
      </w:r>
    </w:p>
    <w:p>
      <w:pPr>
        <w:pStyle w:val="BodyText"/>
      </w:pPr>
      <w:r>
        <w:t xml:space="preserve">Professor is indispensable to the intellectual heritage of</w:t>
      </w:r>
    </w:p>
    <w:p>
      <w:pPr>
        <w:pStyle w:val="BodyText"/>
      </w:pPr>
      <w:r>
        <w:t xml:space="preserve">Jerusalem Israel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Legacy of the Professor in Jerusalem</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