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Automation</w:t>
      </w:r>
    </w:p>
    <w:bookmarkStart w:id="25" w:name="X069b3fba55a7626bec3073f3493d04fc5b58c51"/>
    <w:p>
      <w:pPr>
        <w:pStyle w:val="Heading1"/>
      </w:pPr>
      <w:r>
        <w:t xml:space="preserve">Book Report on Emerging Trends in Industrial Robotics</w:t>
      </w:r>
    </w:p>
    <w:p>
      <w:pPr>
        <w:pStyle w:val="FirstParagraph"/>
      </w:pPr>
      <w:r>
        <w:rPr>
          <w:bCs/>
          <w:b/>
        </w:rPr>
        <w:t xml:space="preserve">Date:</w:t>
      </w:r>
      <w:r>
        <w:t xml:space="preserve"> </w:t>
      </w:r>
      <w:r>
        <w:t xml:space="preserve">October 24, 2023</w:t>
      </w:r>
      <w:r>
        <w:br/>
      </w:r>
      <w:r>
        <w:rPr>
          <w:bCs/>
          <w:b/>
        </w:rPr>
        <w:t xml:space="preserve">To:</w:t>
      </w:r>
      <w:r>
        <w:t xml:space="preserve">The Engineering Leadership Team, Guangzhou Branch</w:t>
      </w:r>
      <w:r>
        <w:br/>
      </w:r>
      <w:r>
        <w:rPr>
          <w:bCs/>
          <w:b/>
        </w:rPr>
        <w:t xml:space="preserve">From:</w:t>
      </w:r>
      <w:r>
        <w:t xml:space="preserve">Sr. Technical Analyst</w:t>
      </w:r>
      <w:r>
        <w:br/>
      </w:r>
      <w:r>
        <w:rPr>
          <w:bCs/>
          <w:b/>
        </w:rPr>
        <w:t xml:space="preserve">Subject:</w:t>
      </w:r>
      <w:r>
        <w:t xml:space="preserve">Evaluation of Current Robotics Literature for Implementation in</w:t>
      </w:r>
      <w:r>
        <w:t xml:space="preserve"> </w:t>
      </w:r>
      <w:r>
        <w:t xml:space="preserve">China Guangzhou</w:t>
      </w:r>
      <w:r>
        <w:br/>
      </w:r>
    </w:p>
    <w:bookmarkStart w:id="20" w:name="introduction-and-contextual-significance"/>
    <w:p>
      <w:pPr>
        <w:pStyle w:val="Heading2"/>
      </w:pPr>
      <w:r>
        <w:t xml:space="preserve">1. Introduction and Contextual Significance</w:t>
      </w:r>
    </w:p>
    <w:p>
      <w:pPr>
        <w:pStyle w:val="FirstParagraph"/>
      </w:pPr>
      <w:r>
        <w:t xml:space="preserve">The rapid evolution of the Fourth Industrial Revolution has fundamentally altered how we perceive manufacturing, logistics, and service delivery. In this context, reviewing contemporary literature regarding the</w:t>
      </w:r>
      <w:r>
        <w:t xml:space="preserve"> </w:t>
      </w:r>
      <w:r>
        <w:rPr>
          <w:bCs/>
          <w:b/>
        </w:rPr>
        <w:t xml:space="preserve">Robotics Engineer’s</w:t>
      </w:r>
      <w:r>
        <w:t xml:space="preserve"> </w:t>
      </w:r>
      <w:r>
        <w:t xml:space="preserve">role is not merely an academic exercise; it is a strategic imperative for maintaining competitive advantage. This book report synthesizes key findings from recent technical monographs and industry case studies to evaluate how robotic automation can be optimized specifically within the unique industrial ecosystem of</w:t>
      </w:r>
      <w:r>
        <w:t xml:space="preserve"> </w:t>
      </w:r>
      <w:r>
        <w:t xml:space="preserve">China Guangzhou</w:t>
      </w:r>
      <w:r>
        <w:t xml:space="preserve">.</w:t>
      </w:r>
    </w:p>
    <w:p>
      <w:pPr>
        <w:pStyle w:val="BodyText"/>
      </w:pPr>
      <w:r>
        <w:t xml:space="preserve">The primary objective of this report is to bridge the gap between theoretical engineering principles and practical application in a high-density urban manufacturing hub. As</w:t>
      </w:r>
      <w:r>
        <w:t xml:space="preserve"> </w:t>
      </w:r>
      <w:r>
        <w:t xml:space="preserve">China Guangzhou</w:t>
      </w:r>
      <w:r>
        <w:t xml:space="preserve"> </w:t>
      </w:r>
      <w:r>
        <w:t xml:space="preserve">continues to solidify its status as a global center for electronics, automotive production, and smart logistics, the demand for skilled</w:t>
      </w:r>
      <w:r>
        <w:t xml:space="preserve"> </w:t>
      </w:r>
      <w:r>
        <w:rPr>
          <w:bCs/>
          <w:b/>
        </w:rPr>
        <w:t xml:space="preserve">Robotics Engineers</w:t>
      </w:r>
      <w:r>
        <w:t xml:space="preserve"> </w:t>
      </w:r>
      <w:r>
        <w:t xml:space="preserve">who understand both advanced algorithms and localized operational constraints has never been higher.</w:t>
      </w:r>
    </w:p>
    <w:bookmarkEnd w:id="20"/>
    <w:bookmarkStart w:id="21" w:name="X1f284d4601989fb619c9d0809e3d10e278e4865"/>
    <w:p>
      <w:pPr>
        <w:pStyle w:val="Heading2"/>
      </w:pPr>
      <w:r>
        <w:t xml:space="preserve">2. The Evolving Role of the Robotics Engineer</w:t>
      </w:r>
    </w:p>
    <w:p>
      <w:pPr>
        <w:pStyle w:val="FirstParagraph"/>
      </w:pPr>
      <w:r>
        <w:t xml:space="preserve">The literature consistently highlights a paradigm shift in the profile of a modern</w:t>
      </w:r>
      <w:r>
        <w:t xml:space="preserve"> </w:t>
      </w:r>
      <w:r>
        <w:rPr>
          <w:bCs/>
          <w:b/>
        </w:rPr>
        <w:t xml:space="preserve">Robotics Engineer</w:t>
      </w:r>
      <w:r>
        <w:t xml:space="preserve">. Traditionally, this role was confined to mechanical assembly and basic PLC programming. However, current texts argue that the contemporary engineer must be a multidisciplinary integrator. They are expected to possess proficiency in machine learning, computer vision, and IoT (Internet of Things) connectivity.</w:t>
      </w:r>
    </w:p>
    <w:p>
      <w:pPr>
        <w:pStyle w:val="BodyText"/>
      </w:pPr>
      <w:r>
        <w:t xml:space="preserve">A central theme identified in the reviewed materials is the transition from "hard-coded" automation to "adaptive" autonomy. The</w:t>
      </w:r>
      <w:r>
        <w:t xml:space="preserve"> </w:t>
      </w:r>
      <w:r>
        <w:rPr>
          <w:bCs/>
          <w:b/>
        </w:rPr>
        <w:t xml:space="preserve">Robotics Engineer</w:t>
      </w:r>
      <w:r>
        <w:t xml:space="preserve"> </w:t>
      </w:r>
      <w:r>
        <w:t xml:space="preserve">is no longer just maintaining machines but is now responsible for teaching robots to learn from their environment. This requires a deep understanding of neural networks and real-time data processing. For engineers working in dynamic environments, the ability to debug software that interacts with physical hardware in unpredictable ways is becoming as critical as mechanical repair skills.</w:t>
      </w:r>
    </w:p>
    <w:bookmarkEnd w:id="21"/>
    <w:bookmarkStart w:id="22" w:name="strategic-alignment-with-china-guangzhou"/>
    <w:p>
      <w:pPr>
        <w:pStyle w:val="Heading2"/>
      </w:pPr>
      <w:r>
        <w:t xml:space="preserve">3. Strategic Alignment with China Guangzhou</w:t>
      </w:r>
    </w:p>
    <w:p>
      <w:pPr>
        <w:pStyle w:val="FirstParagraph"/>
      </w:pPr>
      <w:r>
        <w:t xml:space="preserve">The application of these robotic principles must be viewed through the specific lens of</w:t>
      </w:r>
      <w:r>
        <w:t xml:space="preserve"> </w:t>
      </w:r>
      <w:r>
        <w:t xml:space="preserve">China Guangzhou</w:t>
      </w:r>
      <w:r>
        <w:t xml:space="preserve">. This city is not just any industrial center; it is a pivotal node in the Pearl River Delta, known for its speed of manufacturing and rapid adoption of new technologies. The climate, infrastructure density, and supply chain dynamics of</w:t>
      </w:r>
      <w:r>
        <w:t xml:space="preserve"> </w:t>
      </w:r>
      <w:r>
        <w:t xml:space="preserve">China Guangzhou</w:t>
      </w:r>
      <w:r>
        <w:t xml:space="preserve"> </w:t>
      </w:r>
      <w:r>
        <w:t xml:space="preserve">present unique challenges that standard Western robotics literature often overlooks.</w:t>
      </w:r>
    </w:p>
    <w:p>
      <w:pPr>
        <w:pStyle w:val="BodyText"/>
      </w:pPr>
      <w:r>
        <w:rPr>
          <w:bCs/>
          <w:b/>
        </w:rPr>
        <w:t xml:space="preserve">A. High-Density Automation:</w:t>
      </w:r>
      <w:r>
        <w:br/>
      </w:r>
      <w:r>
        <w:t xml:space="preserve">In</w:t>
      </w:r>
      <w:r>
        <w:t xml:space="preserve"> </w:t>
      </w:r>
      <w:r>
        <w:t xml:space="preserve">China Guangzhou</w:t>
      </w:r>
      <w:r>
        <w:t xml:space="preserve">, factory floors are often more densely packed than in other global regions due to land scarcity and high real estate costs. The book emphasizes that</w:t>
      </w:r>
      <w:r>
        <w:t xml:space="preserve"> </w:t>
      </w:r>
      <w:r>
        <w:rPr>
          <w:bCs/>
          <w:b/>
        </w:rPr>
        <w:t xml:space="preserve">Robotics Engineers</w:t>
      </w:r>
      <w:r>
        <w:t xml:space="preserve"> </w:t>
      </w:r>
      <w:r>
        <w:t xml:space="preserve">must design collaborative robots (cobots) that can operate safely in tight quarters alongside human workers without extensive safety fencing. This "human-robot collaboration" is vital for the flexible manufacturing systems prevalent in Guangzhou’s electronics sector.</w:t>
      </w:r>
    </w:p>
    <w:p>
      <w:pPr>
        <w:pStyle w:val="BodyText"/>
      </w:pPr>
      <w:r>
        <w:rPr>
          <w:bCs/>
          <w:b/>
        </w:rPr>
        <w:t xml:space="preserve">B. Supply Chain Integration:</w:t>
      </w:r>
      <w:r>
        <w:br/>
      </w:r>
      <w:r>
        <w:t xml:space="preserve">Guangzhou serves as a major export hub via the Port of Nansha and Baiyun International Airport. The literature suggests that</w:t>
      </w:r>
      <w:r>
        <w:t xml:space="preserve"> </w:t>
      </w:r>
      <w:r>
        <w:rPr>
          <w:bCs/>
          <w:b/>
        </w:rPr>
        <w:t xml:space="preserve">Robotics Engineers</w:t>
      </w:r>
      <w:r>
        <w:t xml:space="preserve"> </w:t>
      </w:r>
      <w:r>
        <w:t xml:space="preserve">should focus on autonomous mobile robots (AMRs) for intra-factory logistics to reduce bottlenecks. In</w:t>
      </w:r>
      <w:r>
        <w:t xml:space="preserve"> </w:t>
      </w:r>
      <w:r>
        <w:t xml:space="preserve">China Guangzhou</w:t>
      </w:r>
      <w:r>
        <w:t xml:space="preserve">, where time-to-market is critical, automating the movement of components from supplier to assembly line can shave hours off production cycles.</w:t>
      </w:r>
    </w:p>
    <w:p>
      <w:pPr>
        <w:pStyle w:val="BodyText"/>
      </w:pPr>
      <w:r>
        <w:rPr>
          <w:bCs/>
          <w:b/>
        </w:rPr>
        <w:t xml:space="preserve">C. Localized Technical Standards:</w:t>
      </w:r>
      <w:r>
        <w:br/>
      </w:r>
      <w:r>
        <w:t xml:space="preserve">Understanding the regulatory landscape in China is crucial. The book notes that</w:t>
      </w:r>
      <w:r>
        <w:t xml:space="preserve"> </w:t>
      </w:r>
      <w:r>
        <w:rPr>
          <w:bCs/>
          <w:b/>
        </w:rPr>
        <w:t xml:space="preserve">Robotics Engineers</w:t>
      </w:r>
      <w:r>
        <w:t xml:space="preserve"> </w:t>
      </w:r>
      <w:r>
        <w:t xml:space="preserve">working in or with entities based in</w:t>
      </w:r>
      <w:r>
        <w:t xml:space="preserve"> </w:t>
      </w:r>
      <w:r>
        <w:t xml:space="preserve">China Guangzhou</w:t>
      </w:r>
      <w:r>
        <w:t xml:space="preserve"> </w:t>
      </w:r>
      <w:r>
        <w:t xml:space="preserve">must adhere to specific national standards for data security and robotic safety. Ignoring these local regulations can lead to severe operational disruptions. Therefore, cultural and regulatory literacy is now a core competency for the role.</w:t>
      </w:r>
    </w:p>
    <w:bookmarkEnd w:id="22"/>
    <w:bookmarkStart w:id="23" w:name="key-technical-recommendations"/>
    <w:p>
      <w:pPr>
        <w:pStyle w:val="Heading2"/>
      </w:pPr>
      <w:r>
        <w:t xml:space="preserve">4. Key Technical Recommendations</w:t>
      </w:r>
    </w:p>
    <w:p>
      <w:pPr>
        <w:pStyle w:val="FirstParagraph"/>
      </w:pPr>
      <w:r>
        <w:t xml:space="preserve">Based on the synthesis of current engineering best practices and regional needs, the following recommendations are proposed for implementation teams in</w:t>
      </w:r>
      <w:r>
        <w:t xml:space="preserve"> </w:t>
      </w:r>
      <w:r>
        <w:t xml:space="preserve">China Guangzhou</w:t>
      </w:r>
      <w:r>
        <w:t xml:space="preserve">:</w:t>
      </w:r>
    </w:p>
    <w:p>
      <w:pPr>
        <w:numPr>
          <w:ilvl w:val="0"/>
          <w:numId w:val="1001"/>
        </w:numPr>
        <w:pStyle w:val="Compact"/>
      </w:pPr>
      <w:r>
        <w:rPr>
          <w:bCs/>
          <w:b/>
        </w:rPr>
        <w:t xml:space="preserve">Prioritize Scalable AI Models:</w:t>
      </w:r>
      <w:r>
        <w:t xml:space="preserve"> </w:t>
      </w:r>
      <w:r>
        <w:t xml:space="preserve">The</w:t>
      </w:r>
      <w:r>
        <w:t xml:space="preserve"> </w:t>
      </w:r>
      <w:r>
        <w:rPr>
          <w:bCs/>
          <w:b/>
        </w:rPr>
        <w:t xml:space="preserve">Robotics Engineer</w:t>
      </w:r>
      <w:r>
        <w:t xml:space="preserve"> </w:t>
      </w:r>
      <w:r>
        <w:t xml:space="preserve">should implement scalable AI models that can handle the diverse product ranges typical of Guangzhou’s mixed-manufacturing zones.</w:t>
      </w:r>
    </w:p>
    <w:p>
      <w:pPr>
        <w:numPr>
          <w:ilvl w:val="0"/>
          <w:numId w:val="1001"/>
        </w:numPr>
        <w:pStyle w:val="Compact"/>
      </w:pPr>
      <w:r>
        <w:rPr>
          <w:bCs/>
          <w:b/>
        </w:rPr>
        <w:t xml:space="preserve">Enhance Predictive Maintenance:</w:t>
      </w:r>
      <w:r>
        <w:t xml:space="preserve"> </w:t>
      </w:r>
      <w:r>
        <w:t xml:space="preserve">Utilizing sensor data to predict robotic failures before they occur is essential for minimizing downtime in high-throughput environments common in</w:t>
      </w:r>
      <w:r>
        <w:t xml:space="preserve"> </w:t>
      </w:r>
      <w:r>
        <w:t xml:space="preserve">China Guangzhou</w:t>
      </w:r>
      <w:r>
        <w:t xml:space="preserve">.</w:t>
      </w:r>
    </w:p>
    <w:p>
      <w:pPr>
        <w:numPr>
          <w:ilvl w:val="0"/>
          <w:numId w:val="1001"/>
        </w:numPr>
        <w:pStyle w:val="Compact"/>
      </w:pPr>
      <w:r>
        <w:rPr>
          <w:bCs/>
          <w:b/>
        </w:rPr>
        <w:t xml:space="preserve">Cross-Functional Training:</w:t>
      </w:r>
      <w:r>
        <w:t xml:space="preserve"> </w:t>
      </w:r>
      <w:r>
        <w:t xml:space="preserve">Engineering teams must be trained not only in robotics but also in local business practices and digital infrastructure specific to the Greater Bay Area.</w:t>
      </w:r>
    </w:p>
    <w:bookmarkEnd w:id="23"/>
    <w:bookmarkStart w:id="24" w:name="conclusion"/>
    <w:p>
      <w:pPr>
        <w:pStyle w:val="Heading2"/>
      </w:pPr>
      <w:r>
        <w:t xml:space="preserve">5. Conclusion</w:t>
      </w:r>
    </w:p>
    <w:p>
      <w:pPr>
        <w:pStyle w:val="FirstParagraph"/>
      </w:pPr>
      <w:r>
        <w:t xml:space="preserve">The role of the</w:t>
      </w:r>
      <w:r>
        <w:t xml:space="preserve"> </w:t>
      </w:r>
      <w:r>
        <w:rPr>
          <w:bCs/>
          <w:b/>
        </w:rPr>
        <w:t xml:space="preserve">Robotics Engineer</w:t>
      </w:r>
      <w:r>
        <w:t xml:space="preserve"> </w:t>
      </w:r>
      <w:r>
        <w:t xml:space="preserve">has expanded significantly, requiring a blend of traditional mechanical skills and cutting-edge software expertise. However, these skills must be contextualized to be effective. This report concludes that for organizations operating in or targeting the market in</w:t>
      </w:r>
      <w:r>
        <w:t xml:space="preserve"> </w:t>
      </w:r>
      <w:r>
        <w:t xml:space="preserve">China Guangzhou</w:t>
      </w:r>
      <w:r>
        <w:t xml:space="preserve">, success depends on adapting global robotic technologies to local realities.</w:t>
      </w:r>
    </w:p>
    <w:p>
      <w:pPr>
        <w:pStyle w:val="BodyText"/>
      </w:pPr>
      <w:r>
        <w:t xml:space="preserve">The unique industrial pulse of</w:t>
      </w:r>
      <w:r>
        <w:t xml:space="preserve"> </w:t>
      </w:r>
      <w:r>
        <w:t xml:space="preserve">China Guangzhou</w:t>
      </w:r>
      <w:r>
        <w:t xml:space="preserve"> </w:t>
      </w:r>
      <w:r>
        <w:t xml:space="preserve">demands engineers who are agile, culturally aware, and technically proficient. By adopting the insights from this review—specifically focusing on adaptive autonomy, dense-space collaboration, and regulatory compliance—we can ensure that our robotic infrastructure remains robust, efficient, and future-proof. The integration of advanced robotics is not just a technological upgrade; it is a strategic alignment with the rapid economic dynamics of one of China’s most vital industrial cities.</w:t>
      </w:r>
    </w:p>
    <w:p>
      <w:pPr>
        <w:pStyle w:val="BodyText"/>
      </w:pPr>
      <w:r>
        <w:rPr>
          <w:iCs/>
          <w:i/>
        </w:rPr>
        <w:t xml:space="preserve">This document was prepared for internal review purposes. All references to Robotics Engineer, China Guangzhou, and general book report conclusions are based on current industry literature and strategic assessments.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Automation</dc:title>
  <dc:creator/>
  <dc:language>en</dc:language>
  <cp:keywords/>
  <dcterms:created xsi:type="dcterms:W3CDTF">2026-07-29T06:11:18Z</dcterms:created>
  <dcterms:modified xsi:type="dcterms:W3CDTF">2026-07-29T06:11:18Z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